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rFonts w:ascii="仿宋_GB2312" w:hAnsi="仿宋_GB2312" w:eastAsia="仿宋_GB2312" w:cs="仿宋_GB2312"/>
          <w:sz w:val="36"/>
          <w:szCs w:val="36"/>
        </w:rPr>
      </w:pPr>
    </w:p>
    <w:p>
      <w:pPr>
        <w:rPr>
          <w:rFonts w:ascii="仿宋_GB2312" w:hAnsi="仿宋_GB2312" w:eastAsia="仿宋_GB2312" w:cs="仿宋_GB2312"/>
          <w:color w:val="auto"/>
          <w:sz w:val="36"/>
          <w:szCs w:val="36"/>
          <w:highlight w:val="none"/>
        </w:rPr>
      </w:pPr>
    </w:p>
    <w:p>
      <w:pPr>
        <w:rPr>
          <w:rFonts w:ascii="仿宋_GB2312" w:hAnsi="仿宋_GB2312" w:eastAsia="仿宋_GB2312" w:cs="仿宋_GB2312"/>
          <w:color w:val="auto"/>
          <w:sz w:val="36"/>
          <w:szCs w:val="36"/>
          <w:highlight w:val="none"/>
        </w:rPr>
      </w:pPr>
    </w:p>
    <w:p>
      <w:pPr>
        <w:adjustRightInd w:val="0"/>
        <w:snapToGrid w:val="0"/>
        <w:jc w:val="center"/>
        <w:outlineLvl w:val="0"/>
        <w:rPr>
          <w:rFonts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pPr>
        <w:adjustRightInd w:val="0"/>
        <w:snapToGrid w:val="0"/>
        <w:spacing w:beforeLines="80"/>
        <w:jc w:val="center"/>
        <w:rPr>
          <w:rFonts w:ascii="楷体_GB2312" w:eastAsia="楷体_GB2312"/>
          <w:bCs/>
          <w:color w:val="auto"/>
          <w:sz w:val="48"/>
          <w:szCs w:val="48"/>
          <w:highlight w:val="none"/>
        </w:rPr>
      </w:pPr>
      <w:r>
        <w:rPr>
          <w:rFonts w:hint="eastAsia" w:ascii="楷体_GB2312" w:eastAsia="楷体_GB2312"/>
          <w:bCs/>
          <w:color w:val="auto"/>
          <w:sz w:val="48"/>
          <w:szCs w:val="48"/>
          <w:highlight w:val="none"/>
        </w:rPr>
        <w:t>（生态影响类）</w:t>
      </w:r>
    </w:p>
    <w:p>
      <w:pPr>
        <w:adjustRightInd w:val="0"/>
        <w:snapToGrid w:val="0"/>
        <w:spacing w:beforeLines="80"/>
        <w:jc w:val="center"/>
        <w:rPr>
          <w:rFonts w:ascii="楷体_GB2312" w:eastAsia="楷体_GB2312"/>
          <w:bCs/>
          <w:color w:val="auto"/>
          <w:sz w:val="48"/>
          <w:szCs w:val="48"/>
          <w:highlight w:val="none"/>
        </w:rPr>
      </w:pPr>
    </w:p>
    <w:p>
      <w:pPr>
        <w:jc w:val="center"/>
        <w:rPr>
          <w:rFonts w:eastAsia="仿宋"/>
          <w:color w:val="auto"/>
          <w:sz w:val="52"/>
          <w:szCs w:val="52"/>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adjustRightInd w:val="0"/>
        <w:snapToGrid w:val="0"/>
        <w:spacing w:line="360" w:lineRule="auto"/>
        <w:ind w:left="1800" w:hanging="1800" w:hangingChars="500"/>
        <w:rPr>
          <w:rFonts w:ascii="仿宋_GB2312" w:eastAsia="仿宋_GB2312"/>
          <w:color w:val="auto"/>
          <w:sz w:val="36"/>
          <w:szCs w:val="36"/>
          <w:highlight w:val="none"/>
          <w:u w:val="single"/>
        </w:rPr>
      </w:pPr>
      <w:bookmarkStart w:id="0" w:name="_Hlk57884087"/>
      <w:r>
        <w:rPr>
          <w:rFonts w:hint="eastAsia" w:ascii="仿宋_GB2312" w:eastAsia="仿宋_GB2312"/>
          <w:color w:val="auto"/>
          <w:sz w:val="36"/>
          <w:szCs w:val="36"/>
          <w:highlight w:val="none"/>
        </w:rPr>
        <w:t>项目名称：</w:t>
      </w:r>
      <w:r>
        <w:rPr>
          <w:rFonts w:hint="eastAsia" w:ascii="仿宋_GB2312" w:eastAsia="仿宋_GB2312"/>
          <w:color w:val="auto"/>
          <w:sz w:val="36"/>
          <w:szCs w:val="36"/>
          <w:highlight w:val="none"/>
          <w:u w:val="single"/>
        </w:rPr>
        <w:t xml:space="preserve">  苏州工业园区市政工程部建设扬东路西延工程项目  </w:t>
      </w:r>
    </w:p>
    <w:p>
      <w:pPr>
        <w:adjustRightInd w:val="0"/>
        <w:snapToGrid w:val="0"/>
        <w:spacing w:line="360" w:lineRule="auto"/>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建设单位（盖章）：</w:t>
      </w:r>
      <w:r>
        <w:rPr>
          <w:rFonts w:hint="eastAsia" w:ascii="仿宋_GB2312" w:eastAsia="仿宋_GB2312"/>
          <w:color w:val="auto"/>
          <w:sz w:val="36"/>
          <w:szCs w:val="36"/>
          <w:highlight w:val="none"/>
          <w:u w:val="single"/>
        </w:rPr>
        <w:t xml:space="preserve"> 苏州工业园区市政建设管理中心    </w:t>
      </w:r>
    </w:p>
    <w:p>
      <w:pPr>
        <w:adjustRightInd w:val="0"/>
        <w:snapToGrid w:val="0"/>
        <w:spacing w:line="360" w:lineRule="auto"/>
        <w:rPr>
          <w:rFonts w:ascii="仿宋_GB2312" w:eastAsia="仿宋_GB2312"/>
          <w:color w:val="auto"/>
          <w:sz w:val="36"/>
          <w:szCs w:val="36"/>
          <w:highlight w:val="none"/>
          <w:u w:val="single"/>
        </w:rPr>
      </w:pPr>
      <w:r>
        <w:rPr>
          <w:rFonts w:hint="eastAsia" w:ascii="仿宋_GB2312" w:eastAsia="仿宋_GB2312"/>
          <w:color w:val="auto"/>
          <w:sz w:val="36"/>
          <w:szCs w:val="36"/>
          <w:highlight w:val="none"/>
        </w:rPr>
        <w:t>编制日期：</w:t>
      </w:r>
      <w:r>
        <w:rPr>
          <w:rFonts w:hint="eastAsia" w:ascii="仿宋_GB2312" w:eastAsia="仿宋_GB2312"/>
          <w:color w:val="auto"/>
          <w:sz w:val="36"/>
          <w:szCs w:val="36"/>
          <w:highlight w:val="none"/>
          <w:u w:val="single"/>
        </w:rPr>
        <w:t xml:space="preserve">             2024年</w:t>
      </w:r>
      <w:r>
        <w:rPr>
          <w:rFonts w:hint="eastAsia" w:ascii="仿宋_GB2312" w:eastAsia="仿宋_GB2312"/>
          <w:color w:val="auto"/>
          <w:sz w:val="36"/>
          <w:szCs w:val="36"/>
          <w:highlight w:val="none"/>
          <w:u w:val="single"/>
          <w:lang w:val="en-US" w:eastAsia="zh-CN"/>
        </w:rPr>
        <w:t>6</w:t>
      </w:r>
      <w:r>
        <w:rPr>
          <w:rFonts w:hint="eastAsia" w:ascii="仿宋_GB2312" w:eastAsia="仿宋_GB2312"/>
          <w:color w:val="auto"/>
          <w:sz w:val="36"/>
          <w:szCs w:val="36"/>
          <w:highlight w:val="none"/>
          <w:u w:val="single"/>
        </w:rPr>
        <w:t xml:space="preserve">月           </w:t>
      </w:r>
    </w:p>
    <w:p>
      <w:pPr>
        <w:adjustRightInd w:val="0"/>
        <w:snapToGrid w:val="0"/>
        <w:spacing w:line="288" w:lineRule="auto"/>
        <w:ind w:firstLine="1040"/>
        <w:rPr>
          <w:rFonts w:ascii="仿宋_GB2312" w:eastAsia="仿宋_GB2312"/>
          <w:color w:val="auto"/>
          <w:sz w:val="36"/>
          <w:szCs w:val="36"/>
          <w:highlight w:val="none"/>
        </w:rPr>
      </w:pPr>
    </w:p>
    <w:p>
      <w:pPr>
        <w:adjustRightInd w:val="0"/>
        <w:snapToGrid w:val="0"/>
        <w:spacing w:line="288" w:lineRule="auto"/>
        <w:ind w:firstLine="1040"/>
        <w:rPr>
          <w:rFonts w:ascii="仿宋_GB2312" w:eastAsia="仿宋_GB2312"/>
          <w:color w:val="auto"/>
          <w:sz w:val="36"/>
          <w:szCs w:val="36"/>
          <w:highlight w:val="none"/>
        </w:rPr>
      </w:pPr>
    </w:p>
    <w:p>
      <w:pPr>
        <w:adjustRightInd w:val="0"/>
        <w:snapToGrid w:val="0"/>
        <w:spacing w:line="288" w:lineRule="auto"/>
        <w:ind w:firstLine="1040"/>
        <w:rPr>
          <w:rFonts w:ascii="仿宋_GB2312" w:eastAsia="仿宋_GB2312"/>
          <w:color w:val="auto"/>
          <w:sz w:val="36"/>
          <w:szCs w:val="36"/>
          <w:highlight w:val="none"/>
        </w:rPr>
      </w:pPr>
    </w:p>
    <w:p>
      <w:pPr>
        <w:pStyle w:val="23"/>
        <w:rPr>
          <w:color w:val="auto"/>
          <w:highlight w:val="none"/>
        </w:rPr>
      </w:pPr>
    </w:p>
    <w:p>
      <w:pPr>
        <w:adjustRightInd w:val="0"/>
        <w:snapToGrid w:val="0"/>
        <w:spacing w:line="288" w:lineRule="auto"/>
        <w:ind w:firstLine="1040"/>
        <w:rPr>
          <w:rFonts w:ascii="仿宋_GB2312" w:eastAsia="仿宋_GB2312"/>
          <w:color w:val="auto"/>
          <w:sz w:val="36"/>
          <w:szCs w:val="36"/>
          <w:highlight w:val="none"/>
        </w:rPr>
      </w:pPr>
    </w:p>
    <w:p>
      <w:pPr>
        <w:pStyle w:val="23"/>
        <w:rPr>
          <w:rFonts w:ascii="仿宋_GB2312" w:eastAsia="仿宋_GB2312"/>
          <w:color w:val="auto"/>
          <w:sz w:val="36"/>
          <w:szCs w:val="36"/>
          <w:highlight w:val="none"/>
        </w:rPr>
      </w:pPr>
    </w:p>
    <w:p>
      <w:pPr>
        <w:pStyle w:val="23"/>
        <w:rPr>
          <w:rFonts w:ascii="仿宋_GB2312" w:eastAsia="仿宋_GB2312"/>
          <w:color w:val="auto"/>
          <w:sz w:val="36"/>
          <w:szCs w:val="36"/>
          <w:highlight w:val="none"/>
        </w:rPr>
      </w:pPr>
    </w:p>
    <w:bookmarkEnd w:id="0"/>
    <w:p>
      <w:pPr>
        <w:adjustRightInd w:val="0"/>
        <w:snapToGrid w:val="0"/>
        <w:spacing w:line="288" w:lineRule="auto"/>
        <w:jc w:val="center"/>
        <w:rPr>
          <w:rFonts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pPr>
        <w:adjustRightInd w:val="0"/>
        <w:snapToGrid w:val="0"/>
        <w:spacing w:line="288" w:lineRule="auto"/>
        <w:ind w:firstLine="1040"/>
        <w:rPr>
          <w:rFonts w:ascii="仿宋_GB2312" w:eastAsia="仿宋_GB2312"/>
          <w:color w:val="auto"/>
          <w:sz w:val="36"/>
          <w:szCs w:val="36"/>
          <w:highlight w:val="none"/>
        </w:rPr>
        <w:sectPr>
          <w:footerReference r:id="rId3" w:type="default"/>
          <w:pgSz w:w="11906" w:h="16838"/>
          <w:pgMar w:top="1701" w:right="1531" w:bottom="1701" w:left="1531" w:header="851" w:footer="850" w:gutter="0"/>
          <w:pgNumType w:start="1"/>
          <w:cols w:space="720" w:num="1"/>
          <w:docGrid w:linePitch="312" w:charSpace="0"/>
        </w:sectPr>
      </w:pPr>
    </w:p>
    <w:p>
      <w:pPr>
        <w:rPr>
          <w:color w:val="auto"/>
          <w:highlight w:val="none"/>
        </w:rPr>
      </w:pPr>
    </w:p>
    <w:p>
      <w:pPr>
        <w:rPr>
          <w:color w:val="auto"/>
          <w:highlight w:val="none"/>
        </w:rPr>
      </w:pPr>
    </w:p>
    <w:p>
      <w:pPr>
        <w:rPr>
          <w:color w:val="auto"/>
          <w:highlight w:val="none"/>
        </w:rPr>
      </w:pPr>
    </w:p>
    <w:p>
      <w:pPr>
        <w:jc w:val="center"/>
        <w:rPr>
          <w:color w:val="auto"/>
          <w:highlight w:val="none"/>
        </w:rPr>
      </w:pPr>
      <w:r>
        <w:rPr>
          <w:rFonts w:hint="eastAsia"/>
          <w:color w:val="auto"/>
          <w:highlight w:val="none"/>
        </w:rPr>
        <w:drawing>
          <wp:inline distT="0" distB="0" distL="114300" distR="114300">
            <wp:extent cx="4372610" cy="3081655"/>
            <wp:effectExtent l="0" t="0" r="8890" b="4445"/>
            <wp:docPr id="75" name="图片 1" descr="1566894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descr="1566894582(1)"/>
                    <pic:cNvPicPr>
                      <a:picLocks noChangeAspect="1"/>
                    </pic:cNvPicPr>
                  </pic:nvPicPr>
                  <pic:blipFill>
                    <a:blip r:embed="rId7" cstate="print"/>
                    <a:stretch>
                      <a:fillRect/>
                    </a:stretch>
                  </pic:blipFill>
                  <pic:spPr>
                    <a:xfrm>
                      <a:off x="0" y="0"/>
                      <a:ext cx="4372610" cy="3081655"/>
                    </a:xfrm>
                    <a:prstGeom prst="rect">
                      <a:avLst/>
                    </a:prstGeom>
                    <a:noFill/>
                    <a:ln>
                      <a:noFill/>
                    </a:ln>
                  </pic:spPr>
                </pic:pic>
              </a:graphicData>
            </a:graphic>
          </wp:inline>
        </w:drawing>
      </w:r>
    </w:p>
    <w:p>
      <w:pPr>
        <w:rPr>
          <w:color w:val="auto"/>
          <w:highlight w:val="none"/>
        </w:rPr>
      </w:pPr>
    </w:p>
    <w:p>
      <w:pPr>
        <w:rPr>
          <w:color w:val="auto"/>
          <w:highlight w:val="none"/>
        </w:rPr>
      </w:pPr>
    </w:p>
    <w:p>
      <w:pPr>
        <w:pStyle w:val="7"/>
        <w:rPr>
          <w:color w:val="auto"/>
          <w:highlight w:val="none"/>
        </w:rPr>
        <w:sectPr>
          <w:pgSz w:w="11906" w:h="16838"/>
          <w:pgMar w:top="1701" w:right="1531" w:bottom="1701" w:left="1531" w:header="851" w:footer="850" w:gutter="0"/>
          <w:pgNumType w:start="1"/>
          <w:cols w:space="720" w:num="1"/>
          <w:docGrid w:linePitch="312" w:charSpace="0"/>
        </w:sectPr>
      </w:pPr>
      <w:r>
        <w:rPr>
          <w:rFonts w:hint="eastAsia"/>
          <w:color w:val="auto"/>
          <w:highlight w:val="none"/>
        </w:rPr>
        <w:drawing>
          <wp:inline distT="0" distB="0" distL="114300" distR="114300">
            <wp:extent cx="4361815" cy="3161665"/>
            <wp:effectExtent l="0" t="0" r="635" b="635"/>
            <wp:docPr id="77" name="图片 2" descr="1566894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descr="1566894635(1)"/>
                    <pic:cNvPicPr>
                      <a:picLocks noChangeAspect="1"/>
                    </pic:cNvPicPr>
                  </pic:nvPicPr>
                  <pic:blipFill>
                    <a:blip r:embed="rId8" cstate="print"/>
                    <a:stretch>
                      <a:fillRect/>
                    </a:stretch>
                  </pic:blipFill>
                  <pic:spPr>
                    <a:xfrm>
                      <a:off x="0" y="0"/>
                      <a:ext cx="4361815" cy="3161665"/>
                    </a:xfrm>
                    <a:prstGeom prst="rect">
                      <a:avLst/>
                    </a:prstGeom>
                    <a:noFill/>
                    <a:ln>
                      <a:noFill/>
                    </a:ln>
                  </pic:spPr>
                </pic:pic>
              </a:graphicData>
            </a:graphic>
          </wp:inline>
        </w:drawing>
      </w:r>
    </w:p>
    <w:p>
      <w:pPr>
        <w:rPr>
          <w:color w:val="auto"/>
          <w:highlight w:val="none"/>
        </w:rPr>
      </w:pPr>
    </w:p>
    <w:p>
      <w:pPr>
        <w:rPr>
          <w:color w:val="auto"/>
          <w:highlight w:val="none"/>
        </w:rPr>
      </w:pPr>
    </w:p>
    <w:p>
      <w:pPr>
        <w:pStyle w:val="7"/>
        <w:rPr>
          <w:color w:val="auto"/>
          <w:highlight w:val="none"/>
        </w:rPr>
      </w:pPr>
    </w:p>
    <w:p>
      <w:pPr>
        <w:pStyle w:val="7"/>
        <w:rPr>
          <w:color w:val="auto"/>
          <w:highlight w:val="none"/>
        </w:rPr>
      </w:pPr>
    </w:p>
    <w:p>
      <w:pPr>
        <w:pStyle w:val="7"/>
        <w:rPr>
          <w:color w:val="auto"/>
          <w:highlight w:val="none"/>
        </w:rPr>
      </w:pPr>
    </w:p>
    <w:p>
      <w:pPr>
        <w:rPr>
          <w:color w:val="auto"/>
          <w:highlight w:val="none"/>
        </w:rPr>
      </w:pPr>
    </w:p>
    <w:p>
      <w:pPr>
        <w:pStyle w:val="16"/>
        <w:outlineLvl w:val="9"/>
        <w:rPr>
          <w:color w:val="auto"/>
          <w:highlight w:val="none"/>
        </w:rPr>
      </w:pPr>
    </w:p>
    <w:p>
      <w:pPr>
        <w:jc w:val="center"/>
        <w:rPr>
          <w:b/>
          <w:bCs/>
          <w:color w:val="auto"/>
          <w:sz w:val="28"/>
          <w:szCs w:val="36"/>
          <w:highlight w:val="none"/>
        </w:rPr>
      </w:pPr>
      <w:r>
        <w:rPr>
          <w:rFonts w:ascii="宋体" w:hAnsi="宋体"/>
          <w:b/>
          <w:bCs/>
          <w:color w:val="auto"/>
          <w:sz w:val="28"/>
          <w:szCs w:val="36"/>
          <w:highlight w:val="none"/>
        </w:rPr>
        <w:t>目录</w:t>
      </w:r>
    </w:p>
    <w:p>
      <w:pPr>
        <w:pStyle w:val="13"/>
        <w:tabs>
          <w:tab w:val="right" w:leader="dot" w:pos="8844"/>
        </w:tabs>
        <w:rPr>
          <w:color w:val="auto"/>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r>
        <w:rPr>
          <w:color w:val="auto"/>
          <w:highlight w:val="none"/>
        </w:rPr>
        <w:fldChar w:fldCharType="begin"/>
      </w:r>
      <w:r>
        <w:rPr>
          <w:color w:val="auto"/>
          <w:highlight w:val="none"/>
        </w:rPr>
        <w:instrText xml:space="preserve"> HYPERLINK \l "_Toc21904" </w:instrText>
      </w:r>
      <w:r>
        <w:rPr>
          <w:color w:val="auto"/>
          <w:highlight w:val="none"/>
        </w:rPr>
        <w:fldChar w:fldCharType="separate"/>
      </w:r>
      <w:r>
        <w:rPr>
          <w:rFonts w:hint="eastAsia" w:ascii="黑体" w:hAnsi="黑体" w:eastAsia="黑体"/>
          <w:snapToGrid w:val="0"/>
          <w:color w:val="auto"/>
          <w:szCs w:val="30"/>
          <w:highlight w:val="none"/>
        </w:rPr>
        <w:t>一、建设项目基本情况</w:t>
      </w:r>
      <w:r>
        <w:rPr>
          <w:color w:val="auto"/>
          <w:highlight w:val="none"/>
        </w:rPr>
        <w:tab/>
      </w:r>
      <w:r>
        <w:rPr>
          <w:color w:val="auto"/>
          <w:highlight w:val="none"/>
        </w:rPr>
        <w:fldChar w:fldCharType="begin"/>
      </w:r>
      <w:r>
        <w:rPr>
          <w:color w:val="auto"/>
          <w:highlight w:val="none"/>
        </w:rPr>
        <w:instrText xml:space="preserve"> PAGEREF _Toc21904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13"/>
        <w:tabs>
          <w:tab w:val="right" w:leader="dot" w:pos="8844"/>
        </w:tabs>
        <w:rPr>
          <w:color w:val="auto"/>
          <w:highlight w:val="none"/>
        </w:rPr>
      </w:pPr>
      <w:r>
        <w:rPr>
          <w:color w:val="auto"/>
          <w:highlight w:val="none"/>
        </w:rPr>
        <w:fldChar w:fldCharType="begin"/>
      </w:r>
      <w:r>
        <w:rPr>
          <w:color w:val="auto"/>
          <w:highlight w:val="none"/>
        </w:rPr>
        <w:instrText xml:space="preserve"> HYPERLINK \l "_Toc15276" </w:instrText>
      </w:r>
      <w:r>
        <w:rPr>
          <w:color w:val="auto"/>
          <w:highlight w:val="none"/>
        </w:rPr>
        <w:fldChar w:fldCharType="separate"/>
      </w:r>
      <w:r>
        <w:rPr>
          <w:rFonts w:hint="eastAsia" w:ascii="黑体" w:hAnsi="黑体" w:eastAsia="黑体"/>
          <w:snapToGrid w:val="0"/>
          <w:color w:val="auto"/>
          <w:szCs w:val="30"/>
          <w:highlight w:val="none"/>
        </w:rPr>
        <w:t xml:space="preserve">二、建设内容  </w:t>
      </w:r>
      <w:r>
        <w:rPr>
          <w:color w:val="auto"/>
          <w:highlight w:val="none"/>
        </w:rPr>
        <w:tab/>
      </w:r>
      <w:r>
        <w:rPr>
          <w:color w:val="auto"/>
          <w:highlight w:val="none"/>
        </w:rPr>
        <w:fldChar w:fldCharType="begin"/>
      </w:r>
      <w:r>
        <w:rPr>
          <w:color w:val="auto"/>
          <w:highlight w:val="none"/>
        </w:rPr>
        <w:instrText xml:space="preserve"> PAGEREF _Toc15276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3"/>
        <w:tabs>
          <w:tab w:val="right" w:leader="dot" w:pos="8844"/>
        </w:tabs>
        <w:rPr>
          <w:color w:val="auto"/>
          <w:highlight w:val="none"/>
        </w:rPr>
      </w:pPr>
      <w:r>
        <w:rPr>
          <w:color w:val="auto"/>
          <w:highlight w:val="none"/>
        </w:rPr>
        <w:fldChar w:fldCharType="begin"/>
      </w:r>
      <w:r>
        <w:rPr>
          <w:color w:val="auto"/>
          <w:highlight w:val="none"/>
        </w:rPr>
        <w:instrText xml:space="preserve"> HYPERLINK \l "_Toc10557" </w:instrText>
      </w:r>
      <w:r>
        <w:rPr>
          <w:color w:val="auto"/>
          <w:highlight w:val="none"/>
        </w:rPr>
        <w:fldChar w:fldCharType="separate"/>
      </w:r>
      <w:r>
        <w:rPr>
          <w:rFonts w:hint="eastAsia" w:ascii="黑体" w:hAnsi="黑体" w:eastAsia="黑体"/>
          <w:snapToGrid w:val="0"/>
          <w:color w:val="auto"/>
          <w:szCs w:val="30"/>
          <w:highlight w:val="none"/>
        </w:rPr>
        <w:t>三、</w:t>
      </w:r>
      <w:r>
        <w:rPr>
          <w:rFonts w:eastAsia="黑体"/>
          <w:snapToGrid w:val="0"/>
          <w:color w:val="auto"/>
          <w:szCs w:val="30"/>
          <w:highlight w:val="none"/>
        </w:rPr>
        <w:t>生态环境现状、保护目标及评价标准</w:t>
      </w:r>
      <w:r>
        <w:rPr>
          <w:color w:val="auto"/>
          <w:highlight w:val="none"/>
        </w:rPr>
        <w:tab/>
      </w:r>
      <w:r>
        <w:rPr>
          <w:rFonts w:hint="eastAsia"/>
          <w:color w:val="auto"/>
          <w:highlight w:val="none"/>
        </w:rPr>
        <w:t>4</w:t>
      </w:r>
      <w:r>
        <w:rPr>
          <w:rFonts w:hint="eastAsia"/>
          <w:color w:val="auto"/>
          <w:highlight w:val="none"/>
        </w:rPr>
        <w:fldChar w:fldCharType="end"/>
      </w:r>
      <w:r>
        <w:rPr>
          <w:rFonts w:hint="eastAsia"/>
          <w:color w:val="auto"/>
          <w:highlight w:val="none"/>
        </w:rPr>
        <w:t>7</w:t>
      </w:r>
    </w:p>
    <w:p>
      <w:pPr>
        <w:pStyle w:val="13"/>
        <w:tabs>
          <w:tab w:val="right" w:leader="dot" w:pos="8844"/>
        </w:tabs>
        <w:rPr>
          <w:color w:val="auto"/>
          <w:highlight w:val="none"/>
        </w:rPr>
      </w:pPr>
      <w:r>
        <w:rPr>
          <w:color w:val="auto"/>
          <w:highlight w:val="none"/>
        </w:rPr>
        <w:fldChar w:fldCharType="begin"/>
      </w:r>
      <w:r>
        <w:rPr>
          <w:color w:val="auto"/>
          <w:highlight w:val="none"/>
        </w:rPr>
        <w:instrText xml:space="preserve"> HYPERLINK \l "_Toc25038" </w:instrText>
      </w:r>
      <w:r>
        <w:rPr>
          <w:color w:val="auto"/>
          <w:highlight w:val="none"/>
        </w:rPr>
        <w:fldChar w:fldCharType="separate"/>
      </w:r>
      <w:r>
        <w:rPr>
          <w:rFonts w:hint="eastAsia" w:ascii="黑体" w:hAnsi="黑体" w:eastAsia="黑体"/>
          <w:snapToGrid w:val="0"/>
          <w:color w:val="auto"/>
          <w:szCs w:val="30"/>
          <w:highlight w:val="none"/>
        </w:rPr>
        <w:t>四、</w:t>
      </w:r>
      <w:r>
        <w:rPr>
          <w:rFonts w:eastAsia="黑体"/>
          <w:snapToGrid w:val="0"/>
          <w:color w:val="auto"/>
          <w:szCs w:val="30"/>
          <w:highlight w:val="none"/>
        </w:rPr>
        <w:t>生态环境影响分析</w:t>
      </w:r>
      <w:r>
        <w:rPr>
          <w:color w:val="auto"/>
          <w:highlight w:val="none"/>
        </w:rPr>
        <w:tab/>
      </w:r>
      <w:r>
        <w:rPr>
          <w:rFonts w:hint="eastAsia"/>
          <w:color w:val="auto"/>
          <w:highlight w:val="none"/>
        </w:rPr>
        <w:t>6</w:t>
      </w:r>
      <w:r>
        <w:rPr>
          <w:rFonts w:hint="eastAsia"/>
          <w:color w:val="auto"/>
          <w:highlight w:val="none"/>
        </w:rPr>
        <w:fldChar w:fldCharType="end"/>
      </w:r>
      <w:r>
        <w:rPr>
          <w:rFonts w:hint="eastAsia"/>
          <w:color w:val="auto"/>
          <w:highlight w:val="none"/>
        </w:rPr>
        <w:t>1</w:t>
      </w:r>
    </w:p>
    <w:p>
      <w:pPr>
        <w:pStyle w:val="13"/>
        <w:tabs>
          <w:tab w:val="right" w:leader="dot" w:pos="8844"/>
        </w:tabs>
        <w:rPr>
          <w:color w:val="auto"/>
          <w:highlight w:val="none"/>
        </w:rPr>
      </w:pPr>
      <w:r>
        <w:rPr>
          <w:color w:val="auto"/>
          <w:highlight w:val="none"/>
        </w:rPr>
        <w:fldChar w:fldCharType="begin"/>
      </w:r>
      <w:r>
        <w:rPr>
          <w:color w:val="auto"/>
          <w:highlight w:val="none"/>
        </w:rPr>
        <w:instrText xml:space="preserve"> HYPERLINK \l "_Toc20859" </w:instrText>
      </w:r>
      <w:r>
        <w:rPr>
          <w:color w:val="auto"/>
          <w:highlight w:val="none"/>
        </w:rPr>
        <w:fldChar w:fldCharType="separate"/>
      </w:r>
      <w:r>
        <w:rPr>
          <w:rFonts w:eastAsia="黑体"/>
          <w:snapToGrid w:val="0"/>
          <w:color w:val="auto"/>
          <w:szCs w:val="30"/>
          <w:highlight w:val="none"/>
        </w:rPr>
        <w:t>五、主要生态环境保护措施</w:t>
      </w:r>
      <w:r>
        <w:rPr>
          <w:color w:val="auto"/>
          <w:highlight w:val="none"/>
        </w:rPr>
        <w:tab/>
      </w:r>
      <w:r>
        <w:rPr>
          <w:color w:val="auto"/>
          <w:highlight w:val="none"/>
        </w:rPr>
        <w:fldChar w:fldCharType="end"/>
      </w:r>
      <w:r>
        <w:rPr>
          <w:rFonts w:hint="eastAsia"/>
          <w:color w:val="auto"/>
          <w:highlight w:val="none"/>
        </w:rPr>
        <w:t>74</w:t>
      </w:r>
    </w:p>
    <w:p>
      <w:pPr>
        <w:pStyle w:val="13"/>
        <w:tabs>
          <w:tab w:val="right" w:leader="dot" w:pos="8844"/>
        </w:tabs>
        <w:rPr>
          <w:color w:val="auto"/>
          <w:highlight w:val="none"/>
        </w:rPr>
      </w:pPr>
      <w:r>
        <w:rPr>
          <w:color w:val="auto"/>
          <w:highlight w:val="none"/>
        </w:rPr>
        <w:fldChar w:fldCharType="begin"/>
      </w:r>
      <w:r>
        <w:rPr>
          <w:color w:val="auto"/>
          <w:highlight w:val="none"/>
        </w:rPr>
        <w:instrText xml:space="preserve"> HYPERLINK \l "_Toc7878" </w:instrText>
      </w:r>
      <w:r>
        <w:rPr>
          <w:color w:val="auto"/>
          <w:highlight w:val="none"/>
        </w:rPr>
        <w:fldChar w:fldCharType="separate"/>
      </w:r>
      <w:r>
        <w:rPr>
          <w:rFonts w:hint="eastAsia" w:ascii="黑体" w:hAnsi="黑体" w:eastAsia="黑体"/>
          <w:snapToGrid w:val="0"/>
          <w:color w:val="auto"/>
          <w:szCs w:val="30"/>
          <w:highlight w:val="none"/>
        </w:rPr>
        <w:t>六、</w:t>
      </w:r>
      <w:r>
        <w:rPr>
          <w:rFonts w:eastAsia="黑体"/>
          <w:snapToGrid w:val="0"/>
          <w:color w:val="auto"/>
          <w:szCs w:val="30"/>
          <w:highlight w:val="none"/>
        </w:rPr>
        <w:t>生态环境保护措施监督检查清单</w:t>
      </w:r>
      <w:r>
        <w:rPr>
          <w:color w:val="auto"/>
          <w:highlight w:val="none"/>
        </w:rPr>
        <w:tab/>
      </w:r>
      <w:r>
        <w:rPr>
          <w:color w:val="auto"/>
          <w:highlight w:val="none"/>
        </w:rPr>
        <w:fldChar w:fldCharType="end"/>
      </w:r>
      <w:r>
        <w:rPr>
          <w:rFonts w:hint="eastAsia"/>
          <w:color w:val="auto"/>
          <w:highlight w:val="none"/>
        </w:rPr>
        <w:t>86</w:t>
      </w:r>
    </w:p>
    <w:p>
      <w:pPr>
        <w:pStyle w:val="13"/>
        <w:tabs>
          <w:tab w:val="right" w:leader="dot" w:pos="8844"/>
        </w:tabs>
        <w:rPr>
          <w:color w:val="auto"/>
          <w:highlight w:val="none"/>
        </w:rPr>
      </w:pPr>
      <w:r>
        <w:rPr>
          <w:color w:val="auto"/>
          <w:highlight w:val="none"/>
        </w:rPr>
        <w:fldChar w:fldCharType="begin"/>
      </w:r>
      <w:r>
        <w:rPr>
          <w:color w:val="auto"/>
          <w:highlight w:val="none"/>
        </w:rPr>
        <w:instrText xml:space="preserve"> HYPERLINK \l "_Toc26785" </w:instrText>
      </w:r>
      <w:r>
        <w:rPr>
          <w:color w:val="auto"/>
          <w:highlight w:val="none"/>
        </w:rPr>
        <w:fldChar w:fldCharType="separate"/>
      </w:r>
      <w:r>
        <w:rPr>
          <w:rFonts w:hint="eastAsia" w:ascii="黑体" w:hAnsi="黑体" w:eastAsia="黑体"/>
          <w:snapToGrid w:val="0"/>
          <w:color w:val="auto"/>
          <w:szCs w:val="30"/>
          <w:highlight w:val="none"/>
        </w:rPr>
        <w:t>七、结论</w:t>
      </w:r>
      <w:r>
        <w:rPr>
          <w:color w:val="auto"/>
          <w:highlight w:val="none"/>
        </w:rPr>
        <w:tab/>
      </w:r>
      <w:r>
        <w:rPr>
          <w:rFonts w:hint="eastAsia"/>
          <w:color w:val="auto"/>
          <w:highlight w:val="none"/>
        </w:rPr>
        <w:t>8</w:t>
      </w:r>
      <w:r>
        <w:rPr>
          <w:rFonts w:hint="eastAsia"/>
          <w:color w:val="auto"/>
          <w:highlight w:val="none"/>
        </w:rPr>
        <w:fldChar w:fldCharType="end"/>
      </w:r>
      <w:r>
        <w:rPr>
          <w:rFonts w:hint="eastAsia"/>
          <w:color w:val="auto"/>
          <w:highlight w:val="none"/>
        </w:rPr>
        <w:t>8</w:t>
      </w:r>
    </w:p>
    <w:p>
      <w:pPr>
        <w:rPr>
          <w:color w:val="auto"/>
          <w:highlight w:val="none"/>
        </w:rPr>
      </w:pPr>
      <w:r>
        <w:rPr>
          <w:color w:val="auto"/>
          <w:highlight w:val="none"/>
        </w:rPr>
        <w:fldChar w:fldCharType="end"/>
      </w:r>
    </w:p>
    <w:p>
      <w:pPr>
        <w:pStyle w:val="15"/>
        <w:adjustRightInd w:val="0"/>
        <w:snapToGrid w:val="0"/>
        <w:spacing w:before="0" w:beforeAutospacing="0" w:after="0" w:afterAutospacing="0"/>
        <w:jc w:val="center"/>
        <w:outlineLvl w:val="0"/>
        <w:rPr>
          <w:rFonts w:ascii="方正小标宋_GBK" w:hAnsi="黑体" w:eastAsia="方正小标宋_GBK"/>
          <w:bCs/>
          <w:snapToGrid w:val="0"/>
          <w:color w:val="auto"/>
          <w:kern w:val="2"/>
          <w:sz w:val="38"/>
          <w:szCs w:val="38"/>
          <w:highlight w:val="none"/>
        </w:rPr>
        <w:sectPr>
          <w:pgSz w:w="11906" w:h="16838"/>
          <w:pgMar w:top="1701" w:right="1531" w:bottom="1701" w:left="1531" w:header="851" w:footer="850" w:gutter="0"/>
          <w:pgNumType w:start="1"/>
          <w:cols w:space="720" w:num="1"/>
          <w:docGrid w:linePitch="312" w:charSpace="0"/>
        </w:sectPr>
      </w:pPr>
    </w:p>
    <w:p>
      <w:pPr>
        <w:pStyle w:val="15"/>
        <w:jc w:val="center"/>
        <w:outlineLvl w:val="0"/>
        <w:rPr>
          <w:rFonts w:ascii="黑体" w:hAnsi="黑体" w:eastAsia="黑体"/>
          <w:snapToGrid w:val="0"/>
          <w:color w:val="auto"/>
          <w:sz w:val="30"/>
          <w:szCs w:val="30"/>
          <w:highlight w:val="none"/>
        </w:rPr>
      </w:pPr>
      <w:bookmarkStart w:id="1" w:name="_Toc21904"/>
      <w:r>
        <w:rPr>
          <w:rFonts w:hint="eastAsia" w:ascii="黑体" w:hAnsi="黑体" w:eastAsia="黑体"/>
          <w:snapToGrid w:val="0"/>
          <w:color w:val="auto"/>
          <w:sz w:val="30"/>
          <w:szCs w:val="30"/>
          <w:highlight w:val="none"/>
        </w:rPr>
        <w:t>一、建设项目基本情况</w:t>
      </w:r>
      <w:bookmarkEnd w:id="1"/>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06"/>
        <w:gridCol w:w="3348"/>
        <w:gridCol w:w="1875"/>
        <w:gridCol w:w="26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建设项目名称</w:t>
            </w:r>
          </w:p>
        </w:tc>
        <w:tc>
          <w:tcPr>
            <w:tcW w:w="7864" w:type="dxa"/>
            <w:gridSpan w:val="3"/>
            <w:vAlign w:val="center"/>
          </w:tcPr>
          <w:p>
            <w:pPr>
              <w:adjustRightInd w:val="0"/>
              <w:snapToGrid w:val="0"/>
              <w:jc w:val="center"/>
              <w:rPr>
                <w:color w:val="auto"/>
                <w:szCs w:val="21"/>
                <w:highlight w:val="none"/>
              </w:rPr>
            </w:pPr>
            <w:r>
              <w:rPr>
                <w:rFonts w:hint="eastAsia"/>
                <w:bCs/>
                <w:color w:val="auto"/>
                <w:szCs w:val="21"/>
                <w:highlight w:val="none"/>
              </w:rPr>
              <w:t>苏州工业园区市政建设管理中心建设扬东路西延工程项目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项目代码</w:t>
            </w:r>
          </w:p>
        </w:tc>
        <w:tc>
          <w:tcPr>
            <w:tcW w:w="7864" w:type="dxa"/>
            <w:gridSpan w:val="3"/>
            <w:vAlign w:val="center"/>
          </w:tcPr>
          <w:p>
            <w:pPr>
              <w:adjustRightInd w:val="0"/>
              <w:snapToGrid w:val="0"/>
              <w:jc w:val="center"/>
              <w:rPr>
                <w:color w:val="auto"/>
                <w:szCs w:val="21"/>
                <w:highlight w:val="none"/>
              </w:rPr>
            </w:pPr>
            <w:r>
              <w:rPr>
                <w:rFonts w:hint="eastAsia"/>
                <w:color w:val="auto"/>
                <w:szCs w:val="21"/>
                <w:highlight w:val="none"/>
              </w:rPr>
              <w:t>2303-320571-89-01-645562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建设单位联系人</w:t>
            </w:r>
          </w:p>
        </w:tc>
        <w:tc>
          <w:tcPr>
            <w:tcW w:w="3348" w:type="dxa"/>
            <w:vAlign w:val="center"/>
          </w:tcPr>
          <w:p>
            <w:pPr>
              <w:adjustRightInd w:val="0"/>
              <w:snapToGrid w:val="0"/>
              <w:jc w:val="center"/>
              <w:rPr>
                <w:color w:val="auto"/>
                <w:szCs w:val="21"/>
                <w:highlight w:val="none"/>
              </w:rPr>
            </w:pPr>
            <w:r>
              <w:rPr>
                <w:rFonts w:hint="eastAsia"/>
                <w:color w:val="auto"/>
                <w:szCs w:val="21"/>
                <w:highlight w:val="none"/>
              </w:rPr>
              <w:t>王</w:t>
            </w:r>
            <w:r>
              <w:rPr>
                <w:rFonts w:hint="eastAsia"/>
                <w:color w:val="auto"/>
                <w:szCs w:val="21"/>
                <w:highlight w:val="none"/>
                <w:lang w:val="en-US" w:eastAsia="zh-CN"/>
              </w:rPr>
              <w:t>亦</w:t>
            </w:r>
            <w:r>
              <w:rPr>
                <w:rFonts w:hint="eastAsia"/>
                <w:color w:val="auto"/>
                <w:szCs w:val="21"/>
                <w:highlight w:val="none"/>
              </w:rPr>
              <w:t>斌</w:t>
            </w:r>
          </w:p>
        </w:tc>
        <w:tc>
          <w:tcPr>
            <w:tcW w:w="1875" w:type="dxa"/>
            <w:vAlign w:val="center"/>
          </w:tcPr>
          <w:p>
            <w:pPr>
              <w:adjustRightInd w:val="0"/>
              <w:snapToGrid w:val="0"/>
              <w:jc w:val="center"/>
              <w:rPr>
                <w:color w:val="auto"/>
                <w:szCs w:val="21"/>
                <w:highlight w:val="none"/>
              </w:rPr>
            </w:pPr>
            <w:r>
              <w:rPr>
                <w:color w:val="auto"/>
                <w:szCs w:val="21"/>
                <w:highlight w:val="none"/>
              </w:rPr>
              <w:t>联系方式</w:t>
            </w:r>
          </w:p>
        </w:tc>
        <w:tc>
          <w:tcPr>
            <w:tcW w:w="2641" w:type="dxa"/>
            <w:vAlign w:val="center"/>
          </w:tcPr>
          <w:p>
            <w:pPr>
              <w:adjustRightInd w:val="0"/>
              <w:snapToGrid w:val="0"/>
              <w:jc w:val="center"/>
              <w:rPr>
                <w:color w:val="auto"/>
                <w:szCs w:val="21"/>
                <w:highlight w:val="none"/>
              </w:rPr>
            </w:pPr>
            <w:r>
              <w:rPr>
                <w:rFonts w:hint="eastAsia"/>
                <w:color w:val="auto"/>
                <w:szCs w:val="21"/>
                <w:highlight w:val="none"/>
              </w:rPr>
              <w:t>13776091335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建设地点</w:t>
            </w:r>
          </w:p>
        </w:tc>
        <w:tc>
          <w:tcPr>
            <w:tcW w:w="7864" w:type="dxa"/>
            <w:gridSpan w:val="3"/>
            <w:vAlign w:val="center"/>
          </w:tcPr>
          <w:p>
            <w:pPr>
              <w:adjustRightInd w:val="0"/>
              <w:snapToGrid w:val="0"/>
              <w:jc w:val="center"/>
              <w:rPr>
                <w:color w:val="auto"/>
                <w:szCs w:val="21"/>
                <w:highlight w:val="none"/>
              </w:rPr>
            </w:pPr>
            <w:r>
              <w:rPr>
                <w:rFonts w:hint="eastAsia"/>
                <w:color w:val="auto"/>
                <w:szCs w:val="21"/>
                <w:highlight w:val="none"/>
              </w:rPr>
              <w:t>江苏省苏州市工业园区（东起扬帆路，下穿苏嘉杭高速高架桥，西至区界外塘河）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地理坐标</w:t>
            </w:r>
          </w:p>
        </w:tc>
        <w:tc>
          <w:tcPr>
            <w:tcW w:w="7864" w:type="dxa"/>
            <w:gridSpan w:val="3"/>
            <w:vAlign w:val="center"/>
          </w:tcPr>
          <w:p>
            <w:pPr>
              <w:rPr>
                <w:bCs/>
                <w:color w:val="auto"/>
                <w:szCs w:val="21"/>
                <w:highlight w:val="none"/>
              </w:rPr>
            </w:pPr>
            <w:r>
              <w:rPr>
                <w:rFonts w:hint="eastAsia"/>
                <w:bCs/>
                <w:color w:val="auto"/>
                <w:szCs w:val="21"/>
                <w:highlight w:val="none"/>
              </w:rPr>
              <w:t>起点：经度</w:t>
            </w:r>
            <w:r>
              <w:rPr>
                <w:rFonts w:hint="eastAsia"/>
                <w:bCs/>
                <w:color w:val="auto"/>
                <w:szCs w:val="21"/>
                <w:highlight w:val="none"/>
                <w:lang w:eastAsia="zh-CN"/>
              </w:rPr>
              <w:t>：</w:t>
            </w:r>
            <w:r>
              <w:rPr>
                <w:rFonts w:hint="eastAsia"/>
                <w:bCs/>
                <w:color w:val="auto"/>
                <w:szCs w:val="21"/>
                <w:highlight w:val="none"/>
              </w:rPr>
              <w:t>纬度</w:t>
            </w:r>
            <w:r>
              <w:rPr>
                <w:bCs/>
                <w:color w:val="auto"/>
                <w:szCs w:val="21"/>
                <w:highlight w:val="none"/>
              </w:rPr>
              <w:t>（</w:t>
            </w:r>
            <w:r>
              <w:rPr>
                <w:rFonts w:hint="eastAsia"/>
                <w:bCs/>
                <w:color w:val="auto"/>
                <w:szCs w:val="21"/>
                <w:highlight w:val="none"/>
              </w:rPr>
              <w:t>E120°42′0.3564″，31°19′30.082″）</w:t>
            </w:r>
          </w:p>
          <w:p>
            <w:pPr>
              <w:rPr>
                <w:bCs/>
                <w:color w:val="auto"/>
                <w:szCs w:val="21"/>
                <w:highlight w:val="none"/>
              </w:rPr>
            </w:pPr>
            <w:r>
              <w:rPr>
                <w:rFonts w:hint="eastAsia"/>
                <w:bCs/>
                <w:color w:val="auto"/>
                <w:szCs w:val="21"/>
                <w:highlight w:val="none"/>
              </w:rPr>
              <w:t>终点：经度</w:t>
            </w:r>
            <w:r>
              <w:rPr>
                <w:rFonts w:hint="eastAsia"/>
                <w:bCs/>
                <w:color w:val="auto"/>
                <w:szCs w:val="21"/>
                <w:highlight w:val="none"/>
                <w:lang w:eastAsia="zh-CN"/>
              </w:rPr>
              <w:t>：</w:t>
            </w:r>
            <w:r>
              <w:rPr>
                <w:rFonts w:hint="eastAsia"/>
                <w:bCs/>
                <w:color w:val="auto"/>
                <w:szCs w:val="21"/>
                <w:highlight w:val="none"/>
              </w:rPr>
              <w:t>纬度:（E120°42′19.231″，N31°19′13.339″）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06" w:type="dxa"/>
            <w:tcMar>
              <w:top w:w="16" w:type="dxa"/>
              <w:left w:w="16" w:type="dxa"/>
              <w:right w:w="16" w:type="dxa"/>
            </w:tcMar>
            <w:vAlign w:val="center"/>
          </w:tcPr>
          <w:p>
            <w:pPr>
              <w:adjustRightInd w:val="0"/>
              <w:snapToGrid w:val="0"/>
              <w:jc w:val="center"/>
              <w:rPr>
                <w:color w:val="auto"/>
                <w:szCs w:val="21"/>
                <w:highlight w:val="none"/>
              </w:rPr>
            </w:pPr>
            <w:r>
              <w:rPr>
                <w:rFonts w:hint="eastAsia"/>
                <w:color w:val="auto"/>
                <w:highlight w:val="none"/>
              </w:rPr>
              <w:t>建设项目</w:t>
            </w:r>
          </w:p>
          <w:p>
            <w:pPr>
              <w:adjustRightInd w:val="0"/>
              <w:snapToGrid w:val="0"/>
              <w:jc w:val="center"/>
              <w:rPr>
                <w:color w:val="auto"/>
                <w:szCs w:val="21"/>
                <w:highlight w:val="none"/>
              </w:rPr>
            </w:pPr>
            <w:r>
              <w:rPr>
                <w:color w:val="auto"/>
                <w:szCs w:val="21"/>
                <w:highlight w:val="none"/>
              </w:rPr>
              <w:t>行业类别</w:t>
            </w:r>
          </w:p>
        </w:tc>
        <w:tc>
          <w:tcPr>
            <w:tcW w:w="3348" w:type="dxa"/>
            <w:vAlign w:val="center"/>
          </w:tcPr>
          <w:p>
            <w:pPr>
              <w:adjustRightInd w:val="0"/>
              <w:snapToGrid w:val="0"/>
              <w:jc w:val="center"/>
              <w:rPr>
                <w:color w:val="auto"/>
                <w:szCs w:val="21"/>
                <w:highlight w:val="none"/>
              </w:rPr>
            </w:pPr>
            <w:r>
              <w:rPr>
                <w:rFonts w:hint="eastAsia"/>
                <w:bCs/>
                <w:color w:val="auto"/>
                <w:szCs w:val="21"/>
                <w:highlight w:val="none"/>
              </w:rPr>
              <w:t>五十二、交通运输业、管道运输业131、城市道路(不含维护；不含支路、人行天桥、人行地道)</w:t>
            </w:r>
          </w:p>
        </w:tc>
        <w:tc>
          <w:tcPr>
            <w:tcW w:w="1875" w:type="dxa"/>
            <w:vAlign w:val="center"/>
          </w:tcPr>
          <w:p>
            <w:pPr>
              <w:adjustRightInd w:val="0"/>
              <w:snapToGrid w:val="0"/>
              <w:jc w:val="center"/>
              <w:rPr>
                <w:color w:val="auto"/>
                <w:szCs w:val="21"/>
                <w:highlight w:val="none"/>
              </w:rPr>
            </w:pPr>
            <w:r>
              <w:rPr>
                <w:color w:val="auto"/>
                <w:szCs w:val="21"/>
                <w:highlight w:val="none"/>
              </w:rPr>
              <w:t>用地（用海）面积（m</w:t>
            </w:r>
            <w:r>
              <w:rPr>
                <w:color w:val="auto"/>
                <w:szCs w:val="21"/>
                <w:highlight w:val="none"/>
                <w:vertAlign w:val="superscript"/>
              </w:rPr>
              <w:t>2</w:t>
            </w:r>
            <w:r>
              <w:rPr>
                <w:color w:val="auto"/>
                <w:szCs w:val="21"/>
                <w:highlight w:val="none"/>
              </w:rPr>
              <w:t>）/长度（km）</w:t>
            </w:r>
          </w:p>
        </w:tc>
        <w:tc>
          <w:tcPr>
            <w:tcW w:w="2641" w:type="dxa"/>
            <w:vAlign w:val="center"/>
          </w:tcPr>
          <w:p>
            <w:pPr>
              <w:jc w:val="center"/>
              <w:rPr>
                <w:color w:val="auto"/>
                <w:szCs w:val="21"/>
                <w:highlight w:val="none"/>
              </w:rPr>
            </w:pPr>
            <w:r>
              <w:rPr>
                <w:rFonts w:hint="eastAsia"/>
                <w:bCs/>
                <w:color w:val="auto"/>
                <w:szCs w:val="21"/>
                <w:highlight w:val="none"/>
              </w:rPr>
              <w:t>道路全长350m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06" w:type="dxa"/>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建设性质</w:t>
            </w:r>
          </w:p>
        </w:tc>
        <w:tc>
          <w:tcPr>
            <w:tcW w:w="3348" w:type="dxa"/>
            <w:vAlign w:val="center"/>
          </w:tcPr>
          <w:p>
            <w:pPr>
              <w:jc w:val="left"/>
              <w:rPr>
                <w:color w:val="auto"/>
                <w:szCs w:val="21"/>
                <w:highlight w:val="none"/>
              </w:rPr>
            </w:pPr>
            <w:r>
              <w:rPr>
                <w:color w:val="auto"/>
                <w:szCs w:val="21"/>
                <w:highlight w:val="none"/>
              </w:rPr>
              <w:sym w:font="Wingdings 2" w:char="0052"/>
            </w:r>
            <w:r>
              <w:rPr>
                <w:color w:val="auto"/>
                <w:szCs w:val="21"/>
                <w:highlight w:val="none"/>
              </w:rPr>
              <w:t>新建（迁建）</w:t>
            </w:r>
          </w:p>
          <w:p>
            <w:pPr>
              <w:jc w:val="left"/>
              <w:rPr>
                <w:color w:val="auto"/>
                <w:szCs w:val="21"/>
                <w:highlight w:val="none"/>
              </w:rPr>
            </w:pPr>
            <w:r>
              <w:rPr>
                <w:color w:val="auto"/>
                <w:szCs w:val="21"/>
                <w:highlight w:val="none"/>
              </w:rPr>
              <w:sym w:font="Wingdings 2" w:char="00A3"/>
            </w:r>
            <w:r>
              <w:rPr>
                <w:color w:val="auto"/>
                <w:szCs w:val="21"/>
                <w:highlight w:val="none"/>
              </w:rPr>
              <w:t>改建</w:t>
            </w:r>
          </w:p>
          <w:p>
            <w:pPr>
              <w:jc w:val="left"/>
              <w:rPr>
                <w:color w:val="auto"/>
                <w:szCs w:val="21"/>
                <w:highlight w:val="none"/>
              </w:rPr>
            </w:pPr>
            <w:r>
              <w:rPr>
                <w:color w:val="auto"/>
                <w:szCs w:val="21"/>
                <w:highlight w:val="none"/>
              </w:rPr>
              <w:sym w:font="Wingdings 2" w:char="00A3"/>
            </w:r>
            <w:r>
              <w:rPr>
                <w:color w:val="auto"/>
                <w:szCs w:val="21"/>
                <w:highlight w:val="none"/>
              </w:rPr>
              <w:t>扩建</w:t>
            </w:r>
          </w:p>
          <w:p>
            <w:pPr>
              <w:jc w:val="left"/>
              <w:rPr>
                <w:color w:val="auto"/>
                <w:szCs w:val="21"/>
                <w:highlight w:val="none"/>
              </w:rPr>
            </w:pPr>
            <w:r>
              <w:rPr>
                <w:color w:val="auto"/>
                <w:szCs w:val="21"/>
                <w:highlight w:val="none"/>
              </w:rPr>
              <w:sym w:font="Wingdings 2" w:char="00A3"/>
            </w:r>
            <w:r>
              <w:rPr>
                <w:color w:val="auto"/>
                <w:szCs w:val="21"/>
                <w:highlight w:val="none"/>
              </w:rPr>
              <w:t>技术改造</w:t>
            </w:r>
          </w:p>
        </w:tc>
        <w:tc>
          <w:tcPr>
            <w:tcW w:w="1875" w:type="dxa"/>
            <w:vAlign w:val="center"/>
          </w:tcPr>
          <w:p>
            <w:pPr>
              <w:adjustRightInd w:val="0"/>
              <w:snapToGrid w:val="0"/>
              <w:jc w:val="center"/>
              <w:rPr>
                <w:color w:val="auto"/>
                <w:szCs w:val="21"/>
                <w:highlight w:val="none"/>
              </w:rPr>
            </w:pPr>
            <w:r>
              <w:rPr>
                <w:color w:val="auto"/>
                <w:szCs w:val="21"/>
                <w:highlight w:val="none"/>
              </w:rPr>
              <w:t>建设项目</w:t>
            </w:r>
          </w:p>
          <w:p>
            <w:pPr>
              <w:adjustRightInd w:val="0"/>
              <w:snapToGrid w:val="0"/>
              <w:jc w:val="center"/>
              <w:rPr>
                <w:color w:val="auto"/>
                <w:szCs w:val="21"/>
                <w:highlight w:val="none"/>
              </w:rPr>
            </w:pPr>
            <w:r>
              <w:rPr>
                <w:color w:val="auto"/>
                <w:szCs w:val="21"/>
                <w:highlight w:val="none"/>
              </w:rPr>
              <w:t>申报情形</w:t>
            </w:r>
          </w:p>
        </w:tc>
        <w:tc>
          <w:tcPr>
            <w:tcW w:w="2641" w:type="dxa"/>
            <w:vAlign w:val="center"/>
          </w:tcPr>
          <w:p>
            <w:pPr>
              <w:jc w:val="left"/>
              <w:rPr>
                <w:color w:val="auto"/>
                <w:szCs w:val="21"/>
                <w:highlight w:val="none"/>
              </w:rPr>
            </w:pPr>
            <w:r>
              <w:rPr>
                <w:color w:val="auto"/>
                <w:szCs w:val="21"/>
                <w:highlight w:val="none"/>
              </w:rPr>
              <w:sym w:font="Wingdings 2" w:char="0052"/>
            </w:r>
            <w:r>
              <w:rPr>
                <w:color w:val="auto"/>
                <w:szCs w:val="21"/>
                <w:highlight w:val="none"/>
              </w:rPr>
              <w:t>首次申报项目</w:t>
            </w:r>
          </w:p>
          <w:p>
            <w:pPr>
              <w:jc w:val="left"/>
              <w:rPr>
                <w:color w:val="auto"/>
                <w:szCs w:val="21"/>
                <w:highlight w:val="none"/>
              </w:rPr>
            </w:pPr>
            <w:r>
              <w:rPr>
                <w:color w:val="auto"/>
                <w:szCs w:val="21"/>
                <w:highlight w:val="none"/>
              </w:rPr>
              <w:sym w:font="Wingdings 2" w:char="00A3"/>
            </w:r>
            <w:r>
              <w:rPr>
                <w:color w:val="auto"/>
                <w:szCs w:val="21"/>
                <w:highlight w:val="none"/>
              </w:rPr>
              <w:t>不予批准后再次申报项目</w:t>
            </w:r>
          </w:p>
          <w:p>
            <w:pPr>
              <w:jc w:val="left"/>
              <w:rPr>
                <w:color w:val="auto"/>
                <w:szCs w:val="21"/>
                <w:highlight w:val="none"/>
              </w:rPr>
            </w:pPr>
            <w:r>
              <w:rPr>
                <w:color w:val="auto"/>
                <w:szCs w:val="21"/>
                <w:highlight w:val="none"/>
              </w:rPr>
              <w:sym w:font="Wingdings 2" w:char="00A3"/>
            </w:r>
            <w:r>
              <w:rPr>
                <w:color w:val="auto"/>
                <w:szCs w:val="21"/>
                <w:highlight w:val="none"/>
              </w:rPr>
              <w:t>超五年重新审核项目</w:t>
            </w:r>
          </w:p>
          <w:p>
            <w:pPr>
              <w:jc w:val="left"/>
              <w:rPr>
                <w:color w:val="auto"/>
                <w:szCs w:val="21"/>
                <w:highlight w:val="none"/>
              </w:rPr>
            </w:pPr>
            <w:r>
              <w:rPr>
                <w:color w:val="auto"/>
                <w:szCs w:val="21"/>
                <w:highlight w:val="none"/>
              </w:rPr>
              <w:sym w:font="Wingdings 2" w:char="00A3"/>
            </w:r>
            <w:r>
              <w:rPr>
                <w:color w:val="auto"/>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06" w:type="dxa"/>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项目审批（核准/</w:t>
            </w:r>
          </w:p>
          <w:p>
            <w:pPr>
              <w:adjustRightInd w:val="0"/>
              <w:snapToGrid w:val="0"/>
              <w:jc w:val="center"/>
              <w:rPr>
                <w:color w:val="auto"/>
                <w:szCs w:val="21"/>
                <w:highlight w:val="none"/>
              </w:rPr>
            </w:pPr>
            <w:r>
              <w:rPr>
                <w:color w:val="auto"/>
                <w:szCs w:val="21"/>
                <w:highlight w:val="none"/>
              </w:rPr>
              <w:t>备案）部门（选填）</w:t>
            </w:r>
          </w:p>
        </w:tc>
        <w:tc>
          <w:tcPr>
            <w:tcW w:w="3348" w:type="dxa"/>
            <w:vAlign w:val="center"/>
          </w:tcPr>
          <w:p>
            <w:pPr>
              <w:adjustRightInd w:val="0"/>
              <w:snapToGrid w:val="0"/>
              <w:jc w:val="center"/>
              <w:rPr>
                <w:color w:val="auto"/>
                <w:szCs w:val="21"/>
                <w:highlight w:val="none"/>
              </w:rPr>
            </w:pPr>
            <w:r>
              <w:rPr>
                <w:color w:val="auto"/>
                <w:szCs w:val="21"/>
                <w:highlight w:val="none"/>
              </w:rPr>
              <w:t>苏州工业园区行政审批局</w:t>
            </w:r>
          </w:p>
        </w:tc>
        <w:tc>
          <w:tcPr>
            <w:tcW w:w="1875" w:type="dxa"/>
            <w:vAlign w:val="center"/>
          </w:tcPr>
          <w:p>
            <w:pPr>
              <w:adjustRightInd w:val="0"/>
              <w:snapToGrid w:val="0"/>
              <w:jc w:val="center"/>
              <w:rPr>
                <w:color w:val="auto"/>
                <w:szCs w:val="21"/>
                <w:highlight w:val="none"/>
              </w:rPr>
            </w:pPr>
            <w:r>
              <w:rPr>
                <w:color w:val="auto"/>
                <w:szCs w:val="21"/>
                <w:highlight w:val="none"/>
              </w:rPr>
              <w:t>项目审批（核准/</w:t>
            </w:r>
          </w:p>
          <w:p>
            <w:pPr>
              <w:adjustRightInd w:val="0"/>
              <w:snapToGrid w:val="0"/>
              <w:jc w:val="center"/>
              <w:rPr>
                <w:color w:val="auto"/>
                <w:szCs w:val="21"/>
                <w:highlight w:val="none"/>
              </w:rPr>
            </w:pPr>
            <w:r>
              <w:rPr>
                <w:color w:val="auto"/>
                <w:szCs w:val="21"/>
                <w:highlight w:val="none"/>
              </w:rPr>
              <w:t>备案）文号（选填）</w:t>
            </w:r>
          </w:p>
        </w:tc>
        <w:tc>
          <w:tcPr>
            <w:tcW w:w="2641" w:type="dxa"/>
            <w:vAlign w:val="center"/>
          </w:tcPr>
          <w:p>
            <w:pPr>
              <w:adjustRightInd w:val="0"/>
              <w:snapToGrid w:val="0"/>
              <w:jc w:val="center"/>
              <w:rPr>
                <w:color w:val="auto"/>
                <w:highlight w:val="none"/>
              </w:rPr>
            </w:pPr>
            <w:r>
              <w:rPr>
                <w:rFonts w:hint="eastAsia"/>
                <w:bCs/>
                <w:color w:val="auto"/>
                <w:szCs w:val="21"/>
                <w:highlight w:val="none"/>
              </w:rPr>
              <w:t>苏园行审项复字[2023]39号</w:t>
            </w:r>
            <w:bookmarkStart w:id="9" w:name="_GoBack"/>
            <w:bookmarkEnd w:id="9"/>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总投资（万元）</w:t>
            </w:r>
          </w:p>
        </w:tc>
        <w:tc>
          <w:tcPr>
            <w:tcW w:w="3348" w:type="dxa"/>
            <w:vAlign w:val="center"/>
          </w:tcPr>
          <w:p>
            <w:pPr>
              <w:adjustRightInd w:val="0"/>
              <w:snapToGrid w:val="0"/>
              <w:jc w:val="center"/>
              <w:rPr>
                <w:color w:val="auto"/>
                <w:szCs w:val="21"/>
                <w:highlight w:val="none"/>
              </w:rPr>
            </w:pPr>
            <w:r>
              <w:rPr>
                <w:rFonts w:hint="eastAsia"/>
                <w:bCs/>
                <w:color w:val="auto"/>
                <w:szCs w:val="21"/>
                <w:highlight w:val="none"/>
              </w:rPr>
              <w:t>5478</w:t>
            </w:r>
          </w:p>
        </w:tc>
        <w:tc>
          <w:tcPr>
            <w:tcW w:w="1875" w:type="dxa"/>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环保投资（万元）</w:t>
            </w:r>
          </w:p>
        </w:tc>
        <w:tc>
          <w:tcPr>
            <w:tcW w:w="2641" w:type="dxa"/>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547.8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环保投资占比（%）</w:t>
            </w:r>
          </w:p>
        </w:tc>
        <w:tc>
          <w:tcPr>
            <w:tcW w:w="3348" w:type="dxa"/>
            <w:vAlign w:val="center"/>
          </w:tcPr>
          <w:p>
            <w:pPr>
              <w:adjustRightInd w:val="0"/>
              <w:snapToGrid w:val="0"/>
              <w:jc w:val="center"/>
              <w:rPr>
                <w:color w:val="auto"/>
                <w:szCs w:val="21"/>
                <w:highlight w:val="none"/>
              </w:rPr>
            </w:pPr>
            <w:r>
              <w:rPr>
                <w:rFonts w:hint="eastAsia"/>
                <w:color w:val="auto"/>
                <w:szCs w:val="21"/>
                <w:highlight w:val="none"/>
              </w:rPr>
              <w:t>10</w:t>
            </w:r>
          </w:p>
        </w:tc>
        <w:tc>
          <w:tcPr>
            <w:tcW w:w="1875" w:type="dxa"/>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施工工期</w:t>
            </w:r>
          </w:p>
        </w:tc>
        <w:tc>
          <w:tcPr>
            <w:tcW w:w="2641" w:type="dxa"/>
            <w:vAlign w:val="center"/>
          </w:tcPr>
          <w:p>
            <w:pPr>
              <w:adjustRightInd w:val="0"/>
              <w:snapToGrid w:val="0"/>
              <w:jc w:val="center"/>
              <w:rPr>
                <w:color w:val="auto"/>
                <w:szCs w:val="21"/>
                <w:highlight w:val="none"/>
              </w:rPr>
            </w:pPr>
            <w:r>
              <w:rPr>
                <w:rFonts w:hint="eastAsia"/>
                <w:bCs/>
                <w:color w:val="auto"/>
                <w:szCs w:val="21"/>
                <w:highlight w:val="none"/>
              </w:rPr>
              <w:t>2</w:t>
            </w:r>
            <w:r>
              <w:rPr>
                <w:rFonts w:hint="eastAsia"/>
                <w:bCs/>
                <w:color w:val="auto"/>
                <w:szCs w:val="21"/>
                <w:highlight w:val="none"/>
                <w:lang w:val="en-US" w:eastAsia="zh-CN"/>
              </w:rPr>
              <w:t>1</w:t>
            </w:r>
            <w:r>
              <w:rPr>
                <w:rFonts w:hint="eastAsia"/>
                <w:bCs/>
                <w:color w:val="auto"/>
                <w:szCs w:val="21"/>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7" w:hRule="atLeast"/>
          <w:jc w:val="center"/>
        </w:trPr>
        <w:tc>
          <w:tcPr>
            <w:tcW w:w="1006" w:type="dxa"/>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是否开工建设</w:t>
            </w:r>
          </w:p>
        </w:tc>
        <w:tc>
          <w:tcPr>
            <w:tcW w:w="7864" w:type="dxa"/>
            <w:gridSpan w:val="3"/>
            <w:vAlign w:val="center"/>
          </w:tcPr>
          <w:p>
            <w:pPr>
              <w:adjustRightInd w:val="0"/>
              <w:snapToGrid w:val="0"/>
              <w:rPr>
                <w:color w:val="auto"/>
                <w:szCs w:val="21"/>
                <w:highlight w:val="none"/>
              </w:rPr>
            </w:pPr>
            <w:r>
              <w:rPr>
                <w:color w:val="auto"/>
                <w:szCs w:val="21"/>
                <w:highlight w:val="none"/>
              </w:rPr>
              <w:sym w:font="Wingdings 2" w:char="0052"/>
            </w:r>
            <w:r>
              <w:rPr>
                <w:color w:val="auto"/>
                <w:szCs w:val="21"/>
                <w:highlight w:val="none"/>
              </w:rPr>
              <w:t>否</w:t>
            </w:r>
          </w:p>
          <w:p>
            <w:pPr>
              <w:rPr>
                <w:color w:val="auto"/>
                <w:szCs w:val="21"/>
                <w:highlight w:val="none"/>
                <w:u w:val="single"/>
              </w:rPr>
            </w:pPr>
            <w:r>
              <w:rPr>
                <w:color w:val="auto"/>
                <w:szCs w:val="21"/>
                <w:highlight w:val="none"/>
              </w:rPr>
              <w:sym w:font="Wingdings 2" w:char="00A3"/>
            </w:r>
            <w:r>
              <w:rPr>
                <w:color w:val="auto"/>
                <w:szCs w:val="21"/>
                <w:highlight w:val="none"/>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06" w:type="dxa"/>
            <w:vAlign w:val="center"/>
          </w:tcPr>
          <w:p>
            <w:pPr>
              <w:autoSpaceDE w:val="0"/>
              <w:autoSpaceDN w:val="0"/>
              <w:adjustRightInd w:val="0"/>
              <w:snapToGrid w:val="0"/>
              <w:jc w:val="center"/>
              <w:rPr>
                <w:color w:val="auto"/>
                <w:kern w:val="0"/>
                <w:szCs w:val="21"/>
                <w:highlight w:val="none"/>
              </w:rPr>
            </w:pPr>
            <w:r>
              <w:rPr>
                <w:color w:val="auto"/>
                <w:kern w:val="0"/>
                <w:szCs w:val="21"/>
                <w:highlight w:val="none"/>
              </w:rPr>
              <w:t>专项评价设置情况</w:t>
            </w:r>
          </w:p>
        </w:tc>
        <w:tc>
          <w:tcPr>
            <w:tcW w:w="7864" w:type="dxa"/>
            <w:gridSpan w:val="3"/>
            <w:vAlign w:val="center"/>
          </w:tcPr>
          <w:p>
            <w:pPr>
              <w:autoSpaceDE w:val="0"/>
              <w:autoSpaceDN w:val="0"/>
              <w:adjustRightInd w:val="0"/>
              <w:snapToGrid w:val="0"/>
              <w:spacing w:line="400" w:lineRule="exact"/>
              <w:ind w:firstLine="420" w:firstLineChars="200"/>
              <w:rPr>
                <w:color w:val="auto"/>
                <w:kern w:val="0"/>
                <w:szCs w:val="21"/>
                <w:highlight w:val="none"/>
              </w:rPr>
            </w:pPr>
            <w:r>
              <w:rPr>
                <w:rFonts w:hint="eastAsia"/>
                <w:color w:val="auto"/>
                <w:szCs w:val="21"/>
                <w:highlight w:val="none"/>
              </w:rPr>
              <w:t>苏州工业园区扬东路西延工程</w:t>
            </w:r>
            <w:r>
              <w:rPr>
                <w:rFonts w:hint="eastAsia"/>
                <w:color w:val="auto"/>
                <w:kern w:val="0"/>
                <w:szCs w:val="21"/>
                <w:highlight w:val="none"/>
              </w:rPr>
              <w:t>为</w:t>
            </w:r>
            <w:r>
              <w:rPr>
                <w:rFonts w:hint="eastAsia"/>
                <w:bCs/>
                <w:color w:val="auto"/>
                <w:szCs w:val="21"/>
                <w:highlight w:val="none"/>
              </w:rPr>
              <w:t>东西向的二级公路兼城市次干路，包含道路、桥梁、下穿通道，</w:t>
            </w:r>
            <w:r>
              <w:rPr>
                <w:rFonts w:hint="eastAsia"/>
                <w:color w:val="auto"/>
                <w:kern w:val="0"/>
                <w:szCs w:val="21"/>
                <w:highlight w:val="none"/>
              </w:rPr>
              <w:t>需设置</w:t>
            </w:r>
            <w:r>
              <w:rPr>
                <w:color w:val="auto"/>
                <w:kern w:val="0"/>
                <w:szCs w:val="21"/>
                <w:highlight w:val="none"/>
              </w:rPr>
              <w:t>噪声环境影响专项</w:t>
            </w:r>
            <w:r>
              <w:rPr>
                <w:rFonts w:hint="eastAsia"/>
                <w:color w:val="auto"/>
                <w:kern w:val="0"/>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1006" w:type="dxa"/>
            <w:vAlign w:val="center"/>
          </w:tcPr>
          <w:p>
            <w:pPr>
              <w:autoSpaceDE w:val="0"/>
              <w:autoSpaceDN w:val="0"/>
              <w:adjustRightInd w:val="0"/>
              <w:snapToGrid w:val="0"/>
              <w:jc w:val="center"/>
              <w:rPr>
                <w:color w:val="auto"/>
                <w:kern w:val="0"/>
                <w:szCs w:val="21"/>
                <w:highlight w:val="none"/>
              </w:rPr>
            </w:pPr>
            <w:r>
              <w:rPr>
                <w:color w:val="auto"/>
                <w:szCs w:val="21"/>
                <w:highlight w:val="none"/>
              </w:rPr>
              <w:t>规划情况</w:t>
            </w:r>
          </w:p>
        </w:tc>
        <w:tc>
          <w:tcPr>
            <w:tcW w:w="7864" w:type="dxa"/>
            <w:gridSpan w:val="3"/>
            <w:vAlign w:val="center"/>
          </w:tcPr>
          <w:tbl>
            <w:tblPr>
              <w:tblStyle w:val="18"/>
              <w:tblpPr w:leftFromText="180" w:rightFromText="180" w:vertAnchor="text" w:horzAnchor="page" w:tblpX="1" w:tblpY="265"/>
              <w:tblOverlap w:val="never"/>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0" w:type="dxa"/>
                <w:bottom w:w="0" w:type="dxa"/>
                <w:right w:w="0" w:type="dxa"/>
              </w:tblCellMar>
            </w:tblPr>
            <w:tblGrid>
              <w:gridCol w:w="849"/>
              <w:gridCol w:w="2772"/>
              <w:gridCol w:w="1810"/>
              <w:gridCol w:w="2214"/>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90" w:hRule="atLeast"/>
              </w:trPr>
              <w:tc>
                <w:tcPr>
                  <w:tcW w:w="555" w:type="pct"/>
                  <w:tcBorders>
                    <w:bottom w:val="single" w:color="auto" w:sz="12" w:space="0"/>
                    <w:right w:val="single" w:color="auto" w:sz="4" w:space="0"/>
                  </w:tcBorders>
                  <w:vAlign w:val="center"/>
                </w:tcPr>
                <w:p>
                  <w:pPr>
                    <w:widowControl/>
                    <w:spacing w:line="360" w:lineRule="atLeast"/>
                    <w:jc w:val="center"/>
                    <w:rPr>
                      <w:color w:val="auto"/>
                      <w:szCs w:val="21"/>
                      <w:highlight w:val="none"/>
                    </w:rPr>
                  </w:pPr>
                  <w:r>
                    <w:rPr>
                      <w:rFonts w:hAnsi="宋体"/>
                      <w:b/>
                      <w:color w:val="auto"/>
                      <w:szCs w:val="21"/>
                      <w:highlight w:val="none"/>
                    </w:rPr>
                    <w:t>序号</w:t>
                  </w:r>
                </w:p>
              </w:tc>
              <w:tc>
                <w:tcPr>
                  <w:tcW w:w="1812" w:type="pct"/>
                  <w:tcBorders>
                    <w:left w:val="single" w:color="auto" w:sz="4" w:space="0"/>
                    <w:bottom w:val="single" w:color="auto" w:sz="12" w:space="0"/>
                    <w:right w:val="single" w:color="auto" w:sz="4" w:space="0"/>
                  </w:tcBorders>
                  <w:vAlign w:val="center"/>
                </w:tcPr>
                <w:p>
                  <w:pPr>
                    <w:widowControl/>
                    <w:spacing w:line="360" w:lineRule="atLeast"/>
                    <w:jc w:val="center"/>
                    <w:rPr>
                      <w:color w:val="auto"/>
                      <w:szCs w:val="21"/>
                      <w:highlight w:val="none"/>
                    </w:rPr>
                  </w:pPr>
                  <w:r>
                    <w:rPr>
                      <w:rFonts w:hAnsi="宋体"/>
                      <w:b/>
                      <w:color w:val="auto"/>
                      <w:szCs w:val="21"/>
                      <w:highlight w:val="none"/>
                    </w:rPr>
                    <w:t>规划名称</w:t>
                  </w:r>
                </w:p>
              </w:tc>
              <w:tc>
                <w:tcPr>
                  <w:tcW w:w="1184" w:type="pct"/>
                  <w:tcBorders>
                    <w:left w:val="single" w:color="auto" w:sz="4" w:space="0"/>
                    <w:bottom w:val="single" w:color="auto" w:sz="12" w:space="0"/>
                    <w:right w:val="single" w:color="auto" w:sz="4" w:space="0"/>
                  </w:tcBorders>
                  <w:vAlign w:val="center"/>
                </w:tcPr>
                <w:p>
                  <w:pPr>
                    <w:widowControl/>
                    <w:spacing w:line="360" w:lineRule="atLeast"/>
                    <w:jc w:val="center"/>
                    <w:rPr>
                      <w:color w:val="auto"/>
                      <w:szCs w:val="21"/>
                      <w:highlight w:val="none"/>
                    </w:rPr>
                  </w:pPr>
                  <w:r>
                    <w:rPr>
                      <w:rFonts w:hAnsi="宋体"/>
                      <w:b/>
                      <w:color w:val="auto"/>
                      <w:szCs w:val="21"/>
                      <w:highlight w:val="none"/>
                    </w:rPr>
                    <w:t>规划审批机关</w:t>
                  </w:r>
                </w:p>
              </w:tc>
              <w:tc>
                <w:tcPr>
                  <w:tcW w:w="1447" w:type="pct"/>
                  <w:tcBorders>
                    <w:left w:val="single" w:color="auto" w:sz="4" w:space="0"/>
                    <w:bottom w:val="single" w:color="auto" w:sz="12" w:space="0"/>
                  </w:tcBorders>
                  <w:vAlign w:val="center"/>
                </w:tcPr>
                <w:p>
                  <w:pPr>
                    <w:widowControl/>
                    <w:spacing w:line="360" w:lineRule="atLeast"/>
                    <w:jc w:val="center"/>
                    <w:rPr>
                      <w:color w:val="auto"/>
                      <w:szCs w:val="21"/>
                      <w:highlight w:val="none"/>
                    </w:rPr>
                  </w:pPr>
                  <w:r>
                    <w:rPr>
                      <w:rFonts w:hAnsi="宋体"/>
                      <w:b/>
                      <w:color w:val="auto"/>
                      <w:szCs w:val="21"/>
                      <w:highlight w:val="none"/>
                    </w:rPr>
                    <w:t>审查文件名称及文号</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90" w:hRule="atLeast"/>
              </w:trPr>
              <w:tc>
                <w:tcPr>
                  <w:tcW w:w="555" w:type="pct"/>
                  <w:tcBorders>
                    <w:top w:val="single" w:color="auto" w:sz="12" w:space="0"/>
                    <w:bottom w:val="single" w:color="auto" w:sz="8" w:space="0"/>
                    <w:right w:val="single" w:color="auto" w:sz="4" w:space="0"/>
                  </w:tcBorders>
                  <w:vAlign w:val="center"/>
                </w:tcPr>
                <w:p>
                  <w:pPr>
                    <w:widowControl/>
                    <w:spacing w:line="360" w:lineRule="atLeast"/>
                    <w:jc w:val="center"/>
                    <w:rPr>
                      <w:color w:val="auto"/>
                      <w:szCs w:val="21"/>
                      <w:highlight w:val="none"/>
                    </w:rPr>
                  </w:pPr>
                  <w:r>
                    <w:rPr>
                      <w:color w:val="auto"/>
                      <w:szCs w:val="21"/>
                      <w:highlight w:val="none"/>
                    </w:rPr>
                    <w:t>1</w:t>
                  </w:r>
                </w:p>
              </w:tc>
              <w:tc>
                <w:tcPr>
                  <w:tcW w:w="1812" w:type="pct"/>
                  <w:tcBorders>
                    <w:top w:val="single" w:color="auto" w:sz="12" w:space="0"/>
                    <w:left w:val="single" w:color="auto" w:sz="4" w:space="0"/>
                    <w:bottom w:val="single" w:color="auto" w:sz="8" w:space="0"/>
                    <w:right w:val="single" w:color="auto" w:sz="4" w:space="0"/>
                  </w:tcBorders>
                  <w:vAlign w:val="center"/>
                </w:tcPr>
                <w:p>
                  <w:pPr>
                    <w:widowControl/>
                    <w:spacing w:line="360" w:lineRule="atLeast"/>
                    <w:jc w:val="center"/>
                    <w:rPr>
                      <w:color w:val="auto"/>
                      <w:szCs w:val="21"/>
                      <w:highlight w:val="none"/>
                    </w:rPr>
                  </w:pPr>
                  <w:r>
                    <w:rPr>
                      <w:rFonts w:hAnsi="宋体"/>
                      <w:color w:val="auto"/>
                      <w:szCs w:val="21"/>
                      <w:highlight w:val="none"/>
                    </w:rPr>
                    <w:t>苏州工业园区综合交通规划（</w:t>
                  </w:r>
                  <w:r>
                    <w:rPr>
                      <w:color w:val="auto"/>
                      <w:szCs w:val="21"/>
                      <w:highlight w:val="none"/>
                    </w:rPr>
                    <w:t>2012-2030</w:t>
                  </w:r>
                  <w:r>
                    <w:rPr>
                      <w:rFonts w:hAnsi="宋体"/>
                      <w:color w:val="auto"/>
                      <w:szCs w:val="21"/>
                      <w:highlight w:val="none"/>
                    </w:rPr>
                    <w:t>）</w:t>
                  </w:r>
                </w:p>
              </w:tc>
              <w:tc>
                <w:tcPr>
                  <w:tcW w:w="1184" w:type="pct"/>
                  <w:tcBorders>
                    <w:top w:val="single" w:color="auto" w:sz="12" w:space="0"/>
                    <w:left w:val="single" w:color="auto" w:sz="4" w:space="0"/>
                    <w:bottom w:val="single" w:color="auto" w:sz="8" w:space="0"/>
                    <w:right w:val="single" w:color="auto" w:sz="4" w:space="0"/>
                  </w:tcBorders>
                  <w:vAlign w:val="center"/>
                </w:tcPr>
                <w:p>
                  <w:pPr>
                    <w:widowControl/>
                    <w:spacing w:line="360" w:lineRule="atLeast"/>
                    <w:jc w:val="center"/>
                    <w:rPr>
                      <w:color w:val="auto"/>
                      <w:szCs w:val="21"/>
                      <w:highlight w:val="none"/>
                    </w:rPr>
                  </w:pPr>
                  <w:r>
                    <w:rPr>
                      <w:color w:val="auto"/>
                      <w:szCs w:val="21"/>
                      <w:highlight w:val="none"/>
                    </w:rPr>
                    <w:t>/</w:t>
                  </w:r>
                </w:p>
              </w:tc>
              <w:tc>
                <w:tcPr>
                  <w:tcW w:w="1447" w:type="pct"/>
                  <w:tcBorders>
                    <w:top w:val="single" w:color="auto" w:sz="12" w:space="0"/>
                    <w:left w:val="single" w:color="auto" w:sz="4" w:space="0"/>
                    <w:bottom w:val="single" w:color="auto" w:sz="8" w:space="0"/>
                  </w:tcBorders>
                  <w:vAlign w:val="center"/>
                </w:tcPr>
                <w:p>
                  <w:pPr>
                    <w:widowControl/>
                    <w:spacing w:line="360" w:lineRule="atLeast"/>
                    <w:jc w:val="center"/>
                    <w:rPr>
                      <w:color w:val="auto"/>
                      <w:szCs w:val="21"/>
                      <w:highlight w:val="none"/>
                    </w:rPr>
                  </w:pPr>
                  <w:r>
                    <w:rPr>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92" w:hRule="atLeast"/>
              </w:trPr>
              <w:tc>
                <w:tcPr>
                  <w:tcW w:w="555" w:type="pct"/>
                  <w:tcBorders>
                    <w:top w:val="single" w:color="auto" w:sz="8" w:space="0"/>
                    <w:right w:val="single" w:color="auto" w:sz="4" w:space="0"/>
                  </w:tcBorders>
                  <w:vAlign w:val="center"/>
                </w:tcPr>
                <w:p>
                  <w:pPr>
                    <w:widowControl/>
                    <w:spacing w:line="360" w:lineRule="atLeast"/>
                    <w:jc w:val="center"/>
                    <w:rPr>
                      <w:color w:val="auto"/>
                      <w:szCs w:val="21"/>
                      <w:highlight w:val="none"/>
                    </w:rPr>
                  </w:pPr>
                  <w:r>
                    <w:rPr>
                      <w:color w:val="auto"/>
                      <w:szCs w:val="21"/>
                      <w:highlight w:val="none"/>
                    </w:rPr>
                    <w:t>2</w:t>
                  </w:r>
                </w:p>
              </w:tc>
              <w:tc>
                <w:tcPr>
                  <w:tcW w:w="1812" w:type="pct"/>
                  <w:tcBorders>
                    <w:top w:val="single" w:color="auto" w:sz="8" w:space="0"/>
                    <w:left w:val="single" w:color="auto" w:sz="4" w:space="0"/>
                    <w:right w:val="single" w:color="auto" w:sz="4" w:space="0"/>
                  </w:tcBorders>
                  <w:vAlign w:val="center"/>
                </w:tcPr>
                <w:p>
                  <w:pPr>
                    <w:widowControl/>
                    <w:spacing w:line="360" w:lineRule="atLeast"/>
                    <w:jc w:val="center"/>
                    <w:rPr>
                      <w:color w:val="auto"/>
                      <w:szCs w:val="21"/>
                      <w:highlight w:val="none"/>
                    </w:rPr>
                  </w:pPr>
                  <w:r>
                    <w:rPr>
                      <w:rFonts w:hAnsi="宋体"/>
                      <w:color w:val="auto"/>
                      <w:szCs w:val="21"/>
                      <w:highlight w:val="none"/>
                    </w:rPr>
                    <w:t>苏州工业园区总体规划</w:t>
                  </w:r>
                  <w:r>
                    <w:rPr>
                      <w:color w:val="auto"/>
                      <w:szCs w:val="21"/>
                      <w:highlight w:val="none"/>
                    </w:rPr>
                    <w:t xml:space="preserve"> </w:t>
                  </w:r>
                  <w:r>
                    <w:rPr>
                      <w:rFonts w:hAnsi="宋体"/>
                      <w:color w:val="auto"/>
                      <w:szCs w:val="21"/>
                      <w:highlight w:val="none"/>
                    </w:rPr>
                    <w:t>（</w:t>
                  </w:r>
                  <w:r>
                    <w:rPr>
                      <w:color w:val="auto"/>
                      <w:szCs w:val="21"/>
                      <w:highlight w:val="none"/>
                    </w:rPr>
                    <w:t>2012-2030</w:t>
                  </w:r>
                  <w:r>
                    <w:rPr>
                      <w:rFonts w:hAnsi="宋体"/>
                      <w:color w:val="auto"/>
                      <w:szCs w:val="21"/>
                      <w:highlight w:val="none"/>
                    </w:rPr>
                    <w:t>）</w:t>
                  </w:r>
                </w:p>
              </w:tc>
              <w:tc>
                <w:tcPr>
                  <w:tcW w:w="1184" w:type="pct"/>
                  <w:tcBorders>
                    <w:top w:val="single" w:color="auto" w:sz="8" w:space="0"/>
                    <w:left w:val="single" w:color="auto" w:sz="4" w:space="0"/>
                    <w:right w:val="single" w:color="auto" w:sz="4" w:space="0"/>
                  </w:tcBorders>
                  <w:vAlign w:val="center"/>
                </w:tcPr>
                <w:p>
                  <w:pPr>
                    <w:widowControl/>
                    <w:spacing w:line="360" w:lineRule="atLeast"/>
                    <w:jc w:val="center"/>
                    <w:rPr>
                      <w:color w:val="auto"/>
                      <w:szCs w:val="21"/>
                      <w:highlight w:val="none"/>
                    </w:rPr>
                  </w:pPr>
                  <w:r>
                    <w:rPr>
                      <w:rFonts w:hAnsi="宋体"/>
                      <w:color w:val="auto"/>
                      <w:szCs w:val="21"/>
                      <w:highlight w:val="none"/>
                    </w:rPr>
                    <w:t>江苏省人民政府</w:t>
                  </w:r>
                </w:p>
              </w:tc>
              <w:tc>
                <w:tcPr>
                  <w:tcW w:w="1447" w:type="pct"/>
                  <w:tcBorders>
                    <w:top w:val="single" w:color="auto" w:sz="8" w:space="0"/>
                    <w:left w:val="single" w:color="auto" w:sz="4" w:space="0"/>
                  </w:tcBorders>
                  <w:vAlign w:val="center"/>
                </w:tcPr>
                <w:p>
                  <w:pPr>
                    <w:pStyle w:val="6"/>
                    <w:rPr>
                      <w:color w:val="auto"/>
                      <w:sz w:val="20"/>
                      <w:szCs w:val="21"/>
                      <w:highlight w:val="none"/>
                    </w:rPr>
                  </w:pPr>
                  <w:r>
                    <w:rPr>
                      <w:color w:val="auto"/>
                      <w:kern w:val="2"/>
                      <w:sz w:val="21"/>
                      <w:szCs w:val="21"/>
                      <w:highlight w:val="none"/>
                    </w:rPr>
                    <w:t xml:space="preserve">《省政府关于苏州工业园区总体规划(2012-2030)的批复》(苏政复(2014) 86号) </w:t>
                  </w:r>
                </w:p>
              </w:tc>
            </w:tr>
          </w:tbl>
          <w:p>
            <w:pPr>
              <w:autoSpaceDE w:val="0"/>
              <w:autoSpaceDN w:val="0"/>
              <w:adjustRightInd w:val="0"/>
              <w:snapToGrid w:val="0"/>
              <w:spacing w:line="360" w:lineRule="auto"/>
              <w:jc w:val="left"/>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006" w:type="dxa"/>
            <w:vAlign w:val="center"/>
          </w:tcPr>
          <w:p>
            <w:pPr>
              <w:adjustRightInd w:val="0"/>
              <w:snapToGrid w:val="0"/>
              <w:jc w:val="center"/>
              <w:rPr>
                <w:color w:val="auto"/>
                <w:szCs w:val="21"/>
                <w:highlight w:val="none"/>
              </w:rPr>
            </w:pPr>
            <w:r>
              <w:rPr>
                <w:color w:val="auto"/>
                <w:szCs w:val="21"/>
                <w:highlight w:val="none"/>
              </w:rPr>
              <w:t>规划环境影响</w:t>
            </w:r>
          </w:p>
          <w:p>
            <w:pPr>
              <w:adjustRightInd w:val="0"/>
              <w:snapToGrid w:val="0"/>
              <w:jc w:val="center"/>
              <w:rPr>
                <w:color w:val="auto"/>
                <w:kern w:val="0"/>
                <w:szCs w:val="21"/>
                <w:highlight w:val="none"/>
              </w:rPr>
            </w:pPr>
            <w:r>
              <w:rPr>
                <w:color w:val="auto"/>
                <w:szCs w:val="21"/>
                <w:highlight w:val="none"/>
              </w:rPr>
              <w:t>评价情况</w:t>
            </w:r>
          </w:p>
        </w:tc>
        <w:tc>
          <w:tcPr>
            <w:tcW w:w="7864" w:type="dxa"/>
            <w:gridSpan w:val="3"/>
            <w:vAlign w:val="center"/>
          </w:tcPr>
          <w:tbl>
            <w:tblPr>
              <w:tblStyle w:val="18"/>
              <w:tblpPr w:leftFromText="180" w:rightFromText="180" w:vertAnchor="text" w:horzAnchor="page" w:tblpXSpec="center" w:tblpY="265"/>
              <w:tblOverlap w:val="never"/>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03"/>
              <w:gridCol w:w="2598"/>
              <w:gridCol w:w="1881"/>
              <w:gridCol w:w="25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7" w:hRule="atLeast"/>
                <w:jc w:val="center"/>
              </w:trPr>
              <w:tc>
                <w:tcPr>
                  <w:tcW w:w="394" w:type="pct"/>
                  <w:tcBorders>
                    <w:bottom w:val="single" w:color="auto" w:sz="12" w:space="0"/>
                  </w:tcBorders>
                  <w:vAlign w:val="center"/>
                </w:tcPr>
                <w:p>
                  <w:pPr>
                    <w:widowControl/>
                    <w:jc w:val="center"/>
                    <w:rPr>
                      <w:color w:val="auto"/>
                      <w:szCs w:val="21"/>
                      <w:highlight w:val="none"/>
                    </w:rPr>
                  </w:pPr>
                  <w:r>
                    <w:rPr>
                      <w:b/>
                      <w:color w:val="auto"/>
                      <w:szCs w:val="21"/>
                      <w:highlight w:val="none"/>
                    </w:rPr>
                    <w:t>序号</w:t>
                  </w:r>
                </w:p>
              </w:tc>
              <w:tc>
                <w:tcPr>
                  <w:tcW w:w="1698" w:type="pct"/>
                  <w:tcBorders>
                    <w:bottom w:val="single" w:color="auto" w:sz="12" w:space="0"/>
                  </w:tcBorders>
                  <w:vAlign w:val="center"/>
                </w:tcPr>
                <w:p>
                  <w:pPr>
                    <w:widowControl/>
                    <w:jc w:val="center"/>
                    <w:rPr>
                      <w:color w:val="auto"/>
                      <w:szCs w:val="21"/>
                      <w:highlight w:val="none"/>
                    </w:rPr>
                  </w:pPr>
                  <w:r>
                    <w:rPr>
                      <w:b/>
                      <w:color w:val="auto"/>
                      <w:szCs w:val="21"/>
                      <w:highlight w:val="none"/>
                    </w:rPr>
                    <w:t>规划名称</w:t>
                  </w:r>
                </w:p>
              </w:tc>
              <w:tc>
                <w:tcPr>
                  <w:tcW w:w="1230" w:type="pct"/>
                  <w:tcBorders>
                    <w:bottom w:val="single" w:color="auto" w:sz="12" w:space="0"/>
                  </w:tcBorders>
                  <w:vAlign w:val="center"/>
                </w:tcPr>
                <w:p>
                  <w:pPr>
                    <w:widowControl/>
                    <w:jc w:val="center"/>
                    <w:rPr>
                      <w:color w:val="auto"/>
                      <w:szCs w:val="21"/>
                      <w:highlight w:val="none"/>
                    </w:rPr>
                  </w:pPr>
                  <w:r>
                    <w:rPr>
                      <w:b/>
                      <w:color w:val="auto"/>
                      <w:szCs w:val="21"/>
                      <w:highlight w:val="none"/>
                    </w:rPr>
                    <w:t>审批机关</w:t>
                  </w:r>
                </w:p>
              </w:tc>
              <w:tc>
                <w:tcPr>
                  <w:tcW w:w="1676" w:type="pct"/>
                  <w:tcBorders>
                    <w:bottom w:val="single" w:color="auto" w:sz="12" w:space="0"/>
                  </w:tcBorders>
                  <w:vAlign w:val="center"/>
                </w:tcPr>
                <w:p>
                  <w:pPr>
                    <w:widowControl/>
                    <w:jc w:val="center"/>
                    <w:rPr>
                      <w:color w:val="auto"/>
                      <w:szCs w:val="21"/>
                      <w:highlight w:val="none"/>
                    </w:rPr>
                  </w:pPr>
                  <w:r>
                    <w:rPr>
                      <w:b/>
                      <w:color w:val="auto"/>
                      <w:szCs w:val="21"/>
                      <w:highlight w:val="none"/>
                    </w:rPr>
                    <w:t>审查文件名称及文号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006" w:hRule="atLeast"/>
                <w:jc w:val="center"/>
              </w:trPr>
              <w:tc>
                <w:tcPr>
                  <w:tcW w:w="394" w:type="pct"/>
                  <w:tcBorders>
                    <w:top w:val="single" w:color="auto" w:sz="12" w:space="0"/>
                  </w:tcBorders>
                  <w:vAlign w:val="center"/>
                </w:tcPr>
                <w:p>
                  <w:pPr>
                    <w:widowControl/>
                    <w:jc w:val="center"/>
                    <w:rPr>
                      <w:color w:val="auto"/>
                      <w:szCs w:val="21"/>
                      <w:highlight w:val="none"/>
                    </w:rPr>
                  </w:pPr>
                  <w:r>
                    <w:rPr>
                      <w:color w:val="auto"/>
                      <w:szCs w:val="21"/>
                      <w:highlight w:val="none"/>
                    </w:rPr>
                    <w:t>1</w:t>
                  </w:r>
                </w:p>
              </w:tc>
              <w:tc>
                <w:tcPr>
                  <w:tcW w:w="1698" w:type="pct"/>
                  <w:tcBorders>
                    <w:top w:val="single" w:color="auto" w:sz="12" w:space="0"/>
                  </w:tcBorders>
                  <w:vAlign w:val="center"/>
                </w:tcPr>
                <w:p>
                  <w:pPr>
                    <w:widowControl/>
                    <w:jc w:val="center"/>
                    <w:rPr>
                      <w:color w:val="auto"/>
                      <w:szCs w:val="21"/>
                      <w:highlight w:val="none"/>
                    </w:rPr>
                  </w:pPr>
                  <w:r>
                    <w:rPr>
                      <w:color w:val="auto"/>
                      <w:szCs w:val="21"/>
                      <w:highlight w:val="none"/>
                    </w:rPr>
                    <w:t>苏州工业园区总体规划（2012-2030）环境影响报告书</w:t>
                  </w:r>
                </w:p>
              </w:tc>
              <w:tc>
                <w:tcPr>
                  <w:tcW w:w="1230" w:type="pct"/>
                  <w:tcBorders>
                    <w:top w:val="single" w:color="auto" w:sz="12" w:space="0"/>
                  </w:tcBorders>
                  <w:vAlign w:val="center"/>
                </w:tcPr>
                <w:p>
                  <w:pPr>
                    <w:widowControl/>
                    <w:jc w:val="center"/>
                    <w:rPr>
                      <w:color w:val="auto"/>
                      <w:szCs w:val="21"/>
                      <w:highlight w:val="none"/>
                    </w:rPr>
                  </w:pPr>
                  <w:r>
                    <w:rPr>
                      <w:color w:val="auto"/>
                      <w:szCs w:val="21"/>
                      <w:highlight w:val="none"/>
                    </w:rPr>
                    <w:t>原环境保护部</w:t>
                  </w:r>
                </w:p>
              </w:tc>
              <w:tc>
                <w:tcPr>
                  <w:tcW w:w="1676" w:type="pct"/>
                  <w:tcBorders>
                    <w:top w:val="single" w:color="auto" w:sz="12" w:space="0"/>
                  </w:tcBorders>
                  <w:vAlign w:val="center"/>
                </w:tcPr>
                <w:p>
                  <w:pPr>
                    <w:widowControl/>
                    <w:jc w:val="center"/>
                    <w:rPr>
                      <w:color w:val="auto"/>
                      <w:szCs w:val="21"/>
                      <w:highlight w:val="none"/>
                    </w:rPr>
                  </w:pPr>
                  <w:r>
                    <w:rPr>
                      <w:color w:val="auto"/>
                      <w:szCs w:val="21"/>
                      <w:highlight w:val="none"/>
                    </w:rPr>
                    <w:t>关于《苏州工业园区总体规划（2012-2030）环境影响报告书》的审查意见（环审[2015]197号）</w:t>
                  </w:r>
                </w:p>
              </w:tc>
            </w:tr>
          </w:tbl>
          <w:p>
            <w:pPr>
              <w:autoSpaceDE w:val="0"/>
              <w:autoSpaceDN w:val="0"/>
              <w:adjustRightInd w:val="0"/>
              <w:snapToGrid w:val="0"/>
              <w:rPr>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7" w:hRule="atLeast"/>
          <w:jc w:val="center"/>
        </w:trPr>
        <w:tc>
          <w:tcPr>
            <w:tcW w:w="1006" w:type="dxa"/>
            <w:vAlign w:val="center"/>
          </w:tcPr>
          <w:p>
            <w:pPr>
              <w:autoSpaceDE w:val="0"/>
              <w:autoSpaceDN w:val="0"/>
              <w:adjustRightInd w:val="0"/>
              <w:snapToGrid w:val="0"/>
              <w:spacing w:line="360" w:lineRule="auto"/>
              <w:jc w:val="center"/>
              <w:rPr>
                <w:color w:val="auto"/>
                <w:kern w:val="0"/>
                <w:sz w:val="24"/>
                <w:highlight w:val="none"/>
              </w:rPr>
            </w:pPr>
            <w:r>
              <w:rPr>
                <w:rFonts w:hint="eastAsia"/>
                <w:color w:val="auto"/>
                <w:kern w:val="0"/>
                <w:sz w:val="24"/>
                <w:highlight w:val="none"/>
              </w:rPr>
              <w:t xml:space="preserve">  </w:t>
            </w:r>
          </w:p>
        </w:tc>
        <w:tc>
          <w:tcPr>
            <w:tcW w:w="7864" w:type="dxa"/>
            <w:gridSpan w:val="3"/>
            <w:vAlign w:val="center"/>
          </w:tcPr>
          <w:p>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（1）</w:t>
            </w:r>
            <w:r>
              <w:rPr>
                <w:rFonts w:hint="eastAsia"/>
                <w:color w:val="auto"/>
                <w:kern w:val="0"/>
                <w:sz w:val="24"/>
                <w:highlight w:val="none"/>
              </w:rPr>
              <w:t>用地相符性分析</w:t>
            </w:r>
          </w:p>
          <w:p>
            <w:pPr>
              <w:autoSpaceDE w:val="0"/>
              <w:autoSpaceDN w:val="0"/>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本项目属于市政道路工程二级公路兼城市次干路新建项目，对照《限制用地项目目录（</w:t>
            </w:r>
            <w:r>
              <w:rPr>
                <w:color w:val="auto"/>
                <w:kern w:val="0"/>
                <w:sz w:val="24"/>
                <w:highlight w:val="none"/>
              </w:rPr>
              <w:t>2012</w:t>
            </w:r>
            <w:r>
              <w:rPr>
                <w:rFonts w:hint="eastAsia"/>
                <w:color w:val="auto"/>
                <w:kern w:val="0"/>
                <w:sz w:val="24"/>
                <w:highlight w:val="none"/>
              </w:rPr>
              <w:t>年本）》和《禁止用地项目目录（</w:t>
            </w:r>
            <w:r>
              <w:rPr>
                <w:color w:val="auto"/>
                <w:kern w:val="0"/>
                <w:sz w:val="24"/>
                <w:highlight w:val="none"/>
              </w:rPr>
              <w:t>2012</w:t>
            </w:r>
            <w:r>
              <w:rPr>
                <w:rFonts w:hint="eastAsia"/>
                <w:color w:val="auto"/>
                <w:kern w:val="0"/>
                <w:sz w:val="24"/>
                <w:highlight w:val="none"/>
              </w:rPr>
              <w:t>年本）》，项目不属于其中的限制和禁止类用地项目。</w:t>
            </w:r>
          </w:p>
          <w:p>
            <w:pPr>
              <w:pStyle w:val="4"/>
              <w:spacing w:line="360" w:lineRule="auto"/>
              <w:ind w:firstLine="480"/>
              <w:rPr>
                <w:color w:val="auto"/>
                <w:kern w:val="0"/>
                <w:sz w:val="24"/>
                <w:highlight w:val="none"/>
              </w:rPr>
            </w:pPr>
            <w:r>
              <w:rPr>
                <w:rFonts w:hint="eastAsia"/>
                <w:color w:val="auto"/>
                <w:kern w:val="0"/>
                <w:sz w:val="24"/>
                <w:highlight w:val="none"/>
              </w:rPr>
              <w:t>根据《建设项目用地预审与选址意见书》，本项目符合园区国土空间规划近期实施方案，同意用地预审。项目申请用地总面积：1.2236公顷；农用地合计：0.0822公顷；建设用地：1.0761公顷；未利用地：0.0653公顷，不涉及“三区三线(城镇空间、农业空间、生态空间以及城镇开发边界、永久基本农田、生态保护红线)”内容。本项目开工建设前已办理正式用地手续，符合项目用地规划。</w:t>
            </w:r>
          </w:p>
          <w:p>
            <w:pPr>
              <w:autoSpaceDE w:val="0"/>
              <w:autoSpaceDN w:val="0"/>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（2）与区域规划相符性分析</w:t>
            </w:r>
          </w:p>
          <w:p>
            <w:pPr>
              <w:autoSpaceDE w:val="0"/>
              <w:autoSpaceDN w:val="0"/>
              <w:adjustRightInd w:val="0"/>
              <w:snapToGrid w:val="0"/>
              <w:spacing w:line="360" w:lineRule="auto"/>
              <w:ind w:firstLine="482" w:firstLineChars="200"/>
              <w:rPr>
                <w:b/>
                <w:bCs/>
                <w:color w:val="auto"/>
                <w:kern w:val="0"/>
                <w:sz w:val="24"/>
                <w:highlight w:val="none"/>
              </w:rPr>
            </w:pPr>
            <w:r>
              <w:rPr>
                <w:rFonts w:hint="eastAsia"/>
                <w:b/>
                <w:bCs/>
                <w:color w:val="auto"/>
                <w:kern w:val="0"/>
                <w:sz w:val="24"/>
                <w:highlight w:val="none"/>
              </w:rPr>
              <w:t>1）苏州工业园区总体规划（2012-2030）</w:t>
            </w:r>
          </w:p>
          <w:p>
            <w:pPr>
              <w:autoSpaceDE w:val="0"/>
              <w:autoSpaceDN w:val="0"/>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①规划范围</w:t>
            </w:r>
          </w:p>
          <w:p>
            <w:pPr>
              <w:autoSpaceDE w:val="0"/>
              <w:autoSpaceDN w:val="0"/>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规划范围：本规划范围为苏州工业园区行政辖区，土地面积278平方公里。</w:t>
            </w:r>
          </w:p>
          <w:p>
            <w:pPr>
              <w:autoSpaceDE w:val="0"/>
              <w:autoSpaceDN w:val="0"/>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②规划时段</w:t>
            </w:r>
          </w:p>
          <w:p>
            <w:pPr>
              <w:autoSpaceDE w:val="0"/>
              <w:autoSpaceDN w:val="0"/>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本规划期限为2012—2030年，其中，近期：2012—2020年，远期：2021—2030年。</w:t>
            </w:r>
          </w:p>
          <w:p>
            <w:pPr>
              <w:autoSpaceDE w:val="0"/>
              <w:autoSpaceDN w:val="0"/>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③功能定位</w:t>
            </w:r>
          </w:p>
          <w:p>
            <w:pPr>
              <w:autoSpaceDE w:val="0"/>
              <w:autoSpaceDN w:val="0"/>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国际领先的高科技园区、国家开放创新试验区、江苏东部国际商务中心、苏州现代化生态宜居城区。</w:t>
            </w:r>
          </w:p>
          <w:p>
            <w:pPr>
              <w:autoSpaceDE w:val="0"/>
              <w:autoSpaceDN w:val="0"/>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④规划理念</w:t>
            </w:r>
          </w:p>
          <w:p>
            <w:pPr>
              <w:autoSpaceDE w:val="0"/>
              <w:autoSpaceDN w:val="0"/>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a.效率引领</w:t>
            </w:r>
          </w:p>
          <w:p>
            <w:pPr>
              <w:autoSpaceDE w:val="0"/>
              <w:autoSpaceDN w:val="0"/>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以产业门类和层次优化促进产业效率提升。通过工业门类的调整、产业环节 的优化提升等途径，切实提升园区工业的附加值率。以用地功能和强度调整促进空间效率提升。通过工业用地的退二进三、提升公交走廊沿线用地的开发强度等途径，有效提升园区土地利用的效率。以公交优先和交通引导促进交通效率提升。通过公交优先发展、交通与空间布局的有效互动等途径，促进园区交通发展效率的提升。</w:t>
            </w:r>
          </w:p>
          <w:p>
            <w:pPr>
              <w:autoSpaceDE w:val="0"/>
              <w:autoSpaceDN w:val="0"/>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b.低碳引导</w:t>
            </w:r>
          </w:p>
          <w:p>
            <w:pPr>
              <w:autoSpaceDE w:val="0"/>
              <w:autoSpaceDN w:val="0"/>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资源约束引导产业结构升级。立足园区资源实际，增强自主创新能力，促进发展方式转变，优化产业结构，实现现代服务业和先进制造业的协调发展。生态约束引导宜居环境打造。加强园区河、湖等生态敏感空间的严格保护和合理利用，提升人居环境质量，彰显城市魅力。能源约束引导节能减排落实，鼓励节能技术的开发与应用，提高资源使用效率，减少污染物排放；构建绿色交通体系，合理配置产业用地和生活用地，促进机动交通出行减量。</w:t>
            </w:r>
          </w:p>
          <w:p>
            <w:pPr>
              <w:autoSpaceDE w:val="0"/>
              <w:autoSpaceDN w:val="0"/>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c.协调提升</w:t>
            </w:r>
          </w:p>
          <w:p>
            <w:pPr>
              <w:autoSpaceDE w:val="0"/>
              <w:autoSpaceDN w:val="0"/>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以功能整合和空间协调促进内外协调发展。从发展层次、建设规模等角度加强对园区的区域功能载体整合，注重与周边区域空间发展协调。以一体构建和服务均等推动分区协调发展。从设施分布、建设标准等角度推进园区均等化发展，促进发展成果的普惠和共享。</w:t>
            </w:r>
          </w:p>
          <w:p>
            <w:pPr>
              <w:autoSpaceDE w:val="0"/>
              <w:autoSpaceDN w:val="0"/>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⑤空间布局</w:t>
            </w:r>
          </w:p>
          <w:p>
            <w:pPr>
              <w:autoSpaceDE w:val="0"/>
              <w:autoSpaceDN w:val="0"/>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苏州工业园区规划形成“双核多心十字轴、四片多区异彩呈”的空间结构。双核：湖西CBD、湖东CWD围绕金鸡湖合力发展，形成园区城市核心区。多心：结合城际轨道站点、城市轨道站点、功能区中心形成三副多点的中心空间。十字轴：结合各功能片区中心分布，沿东西向城市轨道线和南北向城市公交走廊，形成十字型发展轴，加强周边地区与中心区的联系。四片多区：包括娄葑、斜塘、胜浦和唯亭街道四片，每片结合功能又划分为若干片区。</w:t>
            </w:r>
          </w:p>
          <w:p>
            <w:pPr>
              <w:autoSpaceDE w:val="0"/>
              <w:autoSpaceDN w:val="0"/>
              <w:adjustRightInd w:val="0"/>
              <w:snapToGrid w:val="0"/>
              <w:spacing w:line="360" w:lineRule="auto"/>
              <w:ind w:firstLine="480" w:firstLineChars="200"/>
              <w:rPr>
                <w:bCs/>
                <w:color w:val="auto"/>
                <w:sz w:val="24"/>
                <w:highlight w:val="none"/>
              </w:rPr>
            </w:pPr>
            <w:r>
              <w:rPr>
                <w:rFonts w:hint="eastAsia"/>
                <w:color w:val="auto"/>
                <w:kern w:val="0"/>
                <w:sz w:val="24"/>
                <w:highlight w:val="none"/>
              </w:rPr>
              <w:t>⑥</w:t>
            </w:r>
            <w:r>
              <w:rPr>
                <w:bCs/>
                <w:color w:val="auto"/>
                <w:sz w:val="24"/>
                <w:highlight w:val="none"/>
              </w:rPr>
              <w:t>综合交通体系</w:t>
            </w:r>
          </w:p>
          <w:p>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a.总体目标</w:t>
            </w:r>
          </w:p>
          <w:p>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构建现代化、多模式绿色低碳，达到世界先进水平的综合交通体系。</w:t>
            </w:r>
          </w:p>
          <w:p>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b.方式结构目标</w:t>
            </w:r>
          </w:p>
          <w:p>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以公共交通为主导，公共交通、慢行交通、小汽车交通协调平衡，实现城市交通方式结构的可持续发展。</w:t>
            </w:r>
          </w:p>
          <w:p>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c.道路网规划</w:t>
            </w:r>
          </w:p>
          <w:p>
            <w:pPr>
              <w:autoSpaceDE w:val="0"/>
              <w:autoSpaceDN w:val="0"/>
              <w:adjustRightInd w:val="0"/>
              <w:snapToGrid w:val="0"/>
              <w:spacing w:line="360" w:lineRule="auto"/>
              <w:ind w:firstLine="480" w:firstLineChars="200"/>
              <w:rPr>
                <w:color w:val="auto"/>
                <w:kern w:val="0"/>
                <w:sz w:val="24"/>
                <w:highlight w:val="none"/>
              </w:rPr>
            </w:pPr>
            <w:r>
              <w:rPr>
                <w:color w:val="auto"/>
                <w:kern w:val="0"/>
                <w:sz w:val="24"/>
                <w:highlight w:val="none"/>
              </w:rPr>
              <w:t>形成等级结构合理、与土地利用协调、有利于公交网络布局的城市路网布局。规划路网密度不低于5.4公里/平方公里，其中中央商务区路网密度不低于9公里/平方公里。规划“四横四纵”的快速路布局，快速路总长度81公里，密度0.41公里/平方公里；规划“十三横十二纵”的主干路布局，路网总长度268公里，密度1.36公里/平方公里；规划次干路网总长度约305公里，密度1.55公里/平方公里。</w:t>
            </w:r>
          </w:p>
          <w:p>
            <w:pPr>
              <w:autoSpaceDE w:val="0"/>
              <w:autoSpaceDN w:val="0"/>
              <w:adjustRightInd w:val="0"/>
              <w:snapToGrid w:val="0"/>
              <w:spacing w:line="360" w:lineRule="auto"/>
              <w:ind w:firstLine="480" w:firstLineChars="200"/>
              <w:rPr>
                <w:color w:val="auto"/>
                <w:highlight w:val="none"/>
              </w:rPr>
            </w:pPr>
            <w:r>
              <w:rPr>
                <w:rFonts w:hint="eastAsia"/>
                <w:color w:val="auto"/>
                <w:kern w:val="0"/>
                <w:sz w:val="24"/>
                <w:highlight w:val="none"/>
              </w:rPr>
              <w:t>扬东路西延西起相城区上高路，向东跨越相城区、园区区界外塘河，下穿苏嘉杭高速高架桥，东至园区扬帆路，本次拟建范围属苏州工业园区界内，位于园区西北部，沪宁高速以南，北环快速路以北，西起园区界外塘河，东至扬帆路，是连通相城区、园区的重要跨区通道，拟建道路等级为二级公路（兼城市次干路），为新建道路项目，是相城区、园区间重要的跨区集散次干道、相城区娄北片区出入通道、园区西北门户片区内部的东西向通道，同时也是东西向的非机动车通勤走廊、慢行休闲走廊。随着周边地块的开发建设，居民日益增长的交通出行便捷需求，扬东路西延的建设极为迫切且对苏州工业园区及周边区域经济发展具有重大意义，与苏州工业园区总体规划相符。</w:t>
            </w:r>
          </w:p>
          <w:p>
            <w:pPr>
              <w:pStyle w:val="3"/>
              <w:spacing w:line="360" w:lineRule="auto"/>
              <w:ind w:firstLine="482"/>
              <w:rPr>
                <w:b/>
                <w:bCs/>
                <w:color w:val="auto"/>
                <w:kern w:val="0"/>
                <w:sz w:val="24"/>
                <w:highlight w:val="none"/>
              </w:rPr>
            </w:pPr>
            <w:r>
              <w:rPr>
                <w:rFonts w:hint="eastAsia"/>
                <w:b/>
                <w:bCs/>
                <w:color w:val="auto"/>
                <w:kern w:val="0"/>
                <w:sz w:val="24"/>
                <w:highlight w:val="none"/>
              </w:rPr>
              <w:t>2）苏州工业园区综合交通规划（2012-2030）</w:t>
            </w:r>
          </w:p>
          <w:p>
            <w:pPr>
              <w:pStyle w:val="4"/>
              <w:spacing w:line="360" w:lineRule="auto"/>
              <w:ind w:firstLine="480"/>
              <w:rPr>
                <w:color w:val="auto"/>
                <w:kern w:val="0"/>
                <w:sz w:val="24"/>
                <w:szCs w:val="24"/>
                <w:highlight w:val="none"/>
              </w:rPr>
            </w:pPr>
            <w:r>
              <w:rPr>
                <w:rFonts w:hint="eastAsia"/>
                <w:color w:val="auto"/>
                <w:kern w:val="0"/>
                <w:sz w:val="24"/>
                <w:szCs w:val="24"/>
                <w:highlight w:val="none"/>
              </w:rPr>
              <w:t>①规划理念</w:t>
            </w:r>
          </w:p>
          <w:p>
            <w:pPr>
              <w:pStyle w:val="4"/>
              <w:spacing w:line="360" w:lineRule="auto"/>
              <w:ind w:firstLine="480"/>
              <w:rPr>
                <w:color w:val="auto"/>
                <w:kern w:val="0"/>
                <w:sz w:val="24"/>
                <w:szCs w:val="24"/>
                <w:highlight w:val="none"/>
              </w:rPr>
            </w:pPr>
            <w:r>
              <w:rPr>
                <w:rFonts w:hint="eastAsia"/>
                <w:color w:val="auto"/>
                <w:kern w:val="0"/>
                <w:sz w:val="24"/>
                <w:szCs w:val="24"/>
                <w:highlight w:val="none"/>
              </w:rPr>
              <w:t>立足苏州工业园区经济社会发展阶段和交通、资源、环境特点，以“以人为本”和“低碳发展”为引领，以“公交优先、资源优化、特色引导、政策调控”为途径，构建面向现代化、满足园区功能定位和居民出行需求提升的综合交通体系。</w:t>
            </w:r>
          </w:p>
          <w:p>
            <w:pPr>
              <w:pStyle w:val="4"/>
              <w:spacing w:line="360" w:lineRule="auto"/>
              <w:ind w:firstLine="480"/>
              <w:rPr>
                <w:color w:val="auto"/>
                <w:kern w:val="0"/>
                <w:sz w:val="24"/>
                <w:szCs w:val="24"/>
                <w:highlight w:val="none"/>
              </w:rPr>
            </w:pPr>
            <w:r>
              <w:rPr>
                <w:rFonts w:hint="eastAsia"/>
                <w:color w:val="auto"/>
                <w:kern w:val="0"/>
                <w:sz w:val="24"/>
                <w:szCs w:val="24"/>
                <w:highlight w:val="none"/>
              </w:rPr>
              <w:t>②道路网络</w:t>
            </w:r>
          </w:p>
          <w:p>
            <w:pPr>
              <w:pStyle w:val="4"/>
              <w:spacing w:line="360" w:lineRule="auto"/>
              <w:ind w:firstLine="480"/>
              <w:rPr>
                <w:color w:val="auto"/>
                <w:kern w:val="0"/>
                <w:sz w:val="24"/>
                <w:szCs w:val="24"/>
                <w:highlight w:val="none"/>
              </w:rPr>
            </w:pPr>
            <w:r>
              <w:rPr>
                <w:rFonts w:hint="eastAsia"/>
                <w:color w:val="auto"/>
                <w:kern w:val="0"/>
                <w:sz w:val="24"/>
                <w:szCs w:val="24"/>
                <w:highlight w:val="none"/>
              </w:rPr>
              <w:t>苏州市区保持不规则的方格路网结构，以“井字加环”快速路为骨架，以“八纵八横”共 16 条组团间主干路形成干路框架体系。拟建道路是工业园区道路网干路的组成部分，与其它干路共同构建工业园区内部的集散路网，连通城北路、娄江大道，可更好的服务片区之间的交通出行，是片区对外的重要通道。</w:t>
            </w:r>
          </w:p>
          <w:p>
            <w:pPr>
              <w:pStyle w:val="4"/>
              <w:spacing w:line="360" w:lineRule="auto"/>
              <w:ind w:firstLine="480"/>
              <w:rPr>
                <w:color w:val="auto"/>
                <w:kern w:val="0"/>
                <w:sz w:val="24"/>
                <w:szCs w:val="24"/>
                <w:highlight w:val="none"/>
              </w:rPr>
            </w:pPr>
            <w:r>
              <w:rPr>
                <w:rFonts w:hint="eastAsia"/>
                <w:color w:val="auto"/>
                <w:kern w:val="0"/>
                <w:sz w:val="24"/>
                <w:szCs w:val="24"/>
                <w:highlight w:val="none"/>
              </w:rPr>
              <w:t xml:space="preserve">本项目为苏州工业园区市政建设管理中心建设扬东路工程项目，西起园区界外塘河，向东下穿苏嘉杭高速高架桥，东至扬帆路，路线全长约 </w:t>
            </w:r>
            <w:r>
              <w:rPr>
                <w:color w:val="auto"/>
                <w:kern w:val="0"/>
                <w:sz w:val="24"/>
                <w:szCs w:val="24"/>
                <w:highlight w:val="none"/>
              </w:rPr>
              <w:t>0.35km</w:t>
            </w:r>
            <w:r>
              <w:rPr>
                <w:rFonts w:hint="eastAsia"/>
                <w:color w:val="auto"/>
                <w:kern w:val="0"/>
                <w:sz w:val="24"/>
                <w:szCs w:val="24"/>
                <w:highlight w:val="none"/>
              </w:rPr>
              <w:t>，其中扬帆路交叉口不在项目范围内。项目建成后成将提升区域交通沟通能力，缓解周边通行压力的需要，是贯穿片区东西向的重要客流走廊之一，也是贯穿区域的非机动车通勤走廊、慢行走廊，因此本项目符合《苏州工业园区综合交通规划（2012-2030）》。</w:t>
            </w:r>
          </w:p>
          <w:p>
            <w:pPr>
              <w:autoSpaceDE w:val="0"/>
              <w:autoSpaceDN w:val="0"/>
              <w:adjustRightInd w:val="0"/>
              <w:snapToGrid w:val="0"/>
              <w:spacing w:line="360" w:lineRule="auto"/>
              <w:rPr>
                <w:b/>
                <w:bCs/>
                <w:color w:val="auto"/>
                <w:sz w:val="24"/>
                <w:highlight w:val="none"/>
              </w:rPr>
            </w:pPr>
            <w:r>
              <w:rPr>
                <w:rFonts w:hint="eastAsia"/>
                <w:b/>
                <w:bCs/>
                <w:color w:val="auto"/>
                <w:sz w:val="24"/>
                <w:highlight w:val="none"/>
              </w:rPr>
              <w:t>2、区域规划环评相符性：</w:t>
            </w:r>
          </w:p>
          <w:p>
            <w:pPr>
              <w:pStyle w:val="23"/>
              <w:spacing w:line="360" w:lineRule="auto"/>
              <w:ind w:firstLine="480" w:firstLineChars="200"/>
              <w:jc w:val="both"/>
              <w:rPr>
                <w:color w:val="auto"/>
                <w:highlight w:val="none"/>
              </w:rPr>
            </w:pPr>
            <w:r>
              <w:rPr>
                <w:color w:val="auto"/>
                <w:highlight w:val="none"/>
              </w:rPr>
              <w:t>2015年7月24日，环保部在江苏省南京市主持召开了《苏州工业园区总体规划（2012-2030）环境影响报告书》审查会，提出了审查意见如下：</w:t>
            </w:r>
          </w:p>
          <w:p>
            <w:pPr>
              <w:pStyle w:val="23"/>
              <w:spacing w:line="360" w:lineRule="auto"/>
              <w:ind w:firstLine="480" w:firstLineChars="200"/>
              <w:jc w:val="both"/>
              <w:rPr>
                <w:color w:val="auto"/>
                <w:highlight w:val="none"/>
              </w:rPr>
            </w:pPr>
            <w:r>
              <w:rPr>
                <w:color w:val="auto"/>
                <w:highlight w:val="none"/>
              </w:rPr>
              <w:t>（一）根据国家、区域发展战略，结合苏州城市发展规划，从改善提升园区环境质量和生态功能的角度，树立错位发展、集约发展、绿色发展以及城市与产业协调发展的理念，合理确定《规划》的发展定位、规模、功能布局等，促进园区转型升级，保障区域人居环境安全。</w:t>
            </w:r>
          </w:p>
          <w:p>
            <w:pPr>
              <w:pStyle w:val="23"/>
              <w:spacing w:line="360" w:lineRule="auto"/>
              <w:ind w:firstLine="480" w:firstLineChars="200"/>
              <w:jc w:val="both"/>
              <w:rPr>
                <w:color w:val="auto"/>
                <w:highlight w:val="none"/>
              </w:rPr>
            </w:pPr>
            <w:r>
              <w:rPr>
                <w:color w:val="auto"/>
                <w:highlight w:val="none"/>
              </w:rPr>
              <w:t>（二）优化区内空间布局。严守生态红线，加强阳澄湖、金鸡湖、独墅湖重要生态湿地等生态环境敏感区的环境管控，确保区域生态安全和生态系统稳定。通过采取“退二进三”“退二优二”“留二优二”的用地调整策略，优化园区布局，解决好斜塘老镇区、科教创新区及车坊片区部分地块居住于工业布局混杂的问题。</w:t>
            </w:r>
          </w:p>
          <w:p>
            <w:pPr>
              <w:pStyle w:val="23"/>
              <w:spacing w:line="360" w:lineRule="auto"/>
              <w:ind w:firstLine="480" w:firstLineChars="200"/>
              <w:jc w:val="both"/>
              <w:rPr>
                <w:color w:val="auto"/>
                <w:highlight w:val="none"/>
              </w:rPr>
            </w:pPr>
            <w:r>
              <w:rPr>
                <w:color w:val="auto"/>
                <w:highlight w:val="none"/>
              </w:rPr>
              <w:t>（三）加快推进区内产业优化和转型升级。制定实施方案，逐步淘汰现有化工、造纸等不符合区域发展定位和环境保护要求的产业，严格限制纺织业等产业规模。</w:t>
            </w:r>
          </w:p>
          <w:p>
            <w:pPr>
              <w:pStyle w:val="23"/>
              <w:spacing w:line="360" w:lineRule="auto"/>
              <w:ind w:firstLine="480" w:firstLineChars="200"/>
              <w:jc w:val="both"/>
              <w:rPr>
                <w:color w:val="auto"/>
                <w:highlight w:val="none"/>
              </w:rPr>
            </w:pPr>
            <w:r>
              <w:rPr>
                <w:color w:val="auto"/>
                <w:highlight w:val="none"/>
              </w:rPr>
              <w:t>（四）严格入区产业和项目的环境准入。制定严格的产业准入负面清单，禁止高污染、高耗能、高风险产业准入，禁止新建、改建、扩建化工、印染、造纸、电镀、危险化学品储存等项目。引进项目的生产工艺、设备、污染治理技术，以及单位产品能耗、物耗、污染物排放和资源利用率均需达到同行业国际先进水平。</w:t>
            </w:r>
          </w:p>
          <w:p>
            <w:pPr>
              <w:pStyle w:val="23"/>
              <w:spacing w:line="360" w:lineRule="auto"/>
              <w:ind w:firstLine="480" w:firstLineChars="200"/>
              <w:jc w:val="both"/>
              <w:rPr>
                <w:color w:val="auto"/>
                <w:highlight w:val="none"/>
              </w:rPr>
            </w:pPr>
            <w:r>
              <w:rPr>
                <w:color w:val="auto"/>
                <w:highlight w:val="none"/>
              </w:rPr>
              <w:t>（五）加强阳澄湖水环境保护。落实《江苏省生态红线区域保护规划》、《江苏省太湖水污染防治条例》和《苏州市阳澄湖水源水质保护条例》要求，清理整顿阳澄湖饮用水水源保护区内水产养殖项目和不符合保护要求的企业，推动阳澄湖水环境质量持续改善。</w:t>
            </w:r>
          </w:p>
          <w:p>
            <w:pPr>
              <w:pStyle w:val="23"/>
              <w:spacing w:line="360" w:lineRule="auto"/>
              <w:ind w:firstLine="480" w:firstLineChars="200"/>
              <w:jc w:val="both"/>
              <w:rPr>
                <w:color w:val="auto"/>
                <w:highlight w:val="none"/>
              </w:rPr>
            </w:pPr>
            <w:r>
              <w:rPr>
                <w:color w:val="auto"/>
                <w:highlight w:val="none"/>
              </w:rPr>
              <w:t>（六）落实污染物排放总量控制要求，采取有效措施减少二氧化硫、氮氧化物、挥发性有机物、化学需氧量、氨氮、总磷、重金属等污染物的排放量，切实维护和改善区域环境质量。</w:t>
            </w:r>
          </w:p>
          <w:p>
            <w:pPr>
              <w:pStyle w:val="23"/>
              <w:spacing w:line="360" w:lineRule="auto"/>
              <w:ind w:firstLine="480" w:firstLineChars="200"/>
              <w:jc w:val="both"/>
              <w:rPr>
                <w:color w:val="auto"/>
                <w:highlight w:val="none"/>
              </w:rPr>
            </w:pPr>
            <w:r>
              <w:rPr>
                <w:color w:val="auto"/>
                <w:highlight w:val="none"/>
              </w:rPr>
              <w:t>（七）组织制定生态环境保护规划。统筹考虑区内污染物排放、生态恢复与建设、环境风险防范、环境管理等事宜。建立健全区域风险防范体系和生态安全保障体系，加强区内重要风险源的管控。优化设定区域监测点位设置，做好水环境和大气环境的监测管理与信息公开，接受公众监督。</w:t>
            </w:r>
          </w:p>
          <w:p>
            <w:pPr>
              <w:pStyle w:val="23"/>
              <w:spacing w:line="360" w:lineRule="auto"/>
              <w:ind w:firstLine="480" w:firstLineChars="200"/>
              <w:jc w:val="both"/>
              <w:rPr>
                <w:color w:val="auto"/>
                <w:highlight w:val="none"/>
              </w:rPr>
            </w:pPr>
            <w:r>
              <w:rPr>
                <w:color w:val="auto"/>
                <w:highlight w:val="none"/>
              </w:rPr>
              <w:t>（八）完善区域环境基础设施。加快区内集中供热管网建设，不断扩大集中供热范围；加快污水处理厂脱磷脱氮深度处理设施和中水回用管网的建设，提高尾水排放标准和中水回用率；推进园区循环经济发展，统筹考虑固体废物，特别是危险废物的处理处置。</w:t>
            </w:r>
          </w:p>
          <w:p>
            <w:pPr>
              <w:pStyle w:val="23"/>
              <w:spacing w:line="360" w:lineRule="auto"/>
              <w:ind w:firstLine="480" w:firstLineChars="200"/>
              <w:jc w:val="both"/>
              <w:rPr>
                <w:color w:val="auto"/>
                <w:highlight w:val="none"/>
              </w:rPr>
            </w:pPr>
            <w:r>
              <w:rPr>
                <w:color w:val="auto"/>
                <w:highlight w:val="none"/>
              </w:rPr>
              <w:t>（九）在《规划》实施过程中，每隔五年左右进行一次环境影响跟踪评价，在《规划》修编时应重新编制环境影响报告书。</w:t>
            </w:r>
          </w:p>
          <w:p>
            <w:pPr>
              <w:pStyle w:val="23"/>
              <w:spacing w:line="360" w:lineRule="auto"/>
              <w:ind w:firstLine="480" w:firstLineChars="200"/>
              <w:rPr>
                <w:rFonts w:hAnsi="宋体"/>
                <w:color w:val="auto"/>
                <w:highlight w:val="none"/>
              </w:rPr>
            </w:pPr>
            <w:r>
              <w:rPr>
                <w:color w:val="auto"/>
                <w:highlight w:val="none"/>
              </w:rPr>
              <w:t>本项目为城市道路项目，不属于高污染、高耗能、高风险产业及化工、印染、造纸、电镀、危险化学品储存项目，不违背园区产业结构，项目选线不在江苏省国家级生态红线区域、江苏省生态空间管控区域，</w:t>
            </w:r>
            <w:r>
              <w:rPr>
                <w:rFonts w:hint="eastAsia"/>
                <w:color w:val="auto"/>
                <w:highlight w:val="none"/>
              </w:rPr>
              <w:t>与</w:t>
            </w:r>
            <w:r>
              <w:rPr>
                <w:color w:val="auto"/>
                <w:highlight w:val="none"/>
              </w:rPr>
              <w:t>《苏州市阳澄湖水源水质保护条例》(2018年修正)</w:t>
            </w:r>
            <w:r>
              <w:rPr>
                <w:rFonts w:hint="eastAsia"/>
                <w:color w:val="auto"/>
                <w:highlight w:val="none"/>
              </w:rPr>
              <w:t>相符，</w:t>
            </w:r>
            <w:r>
              <w:rPr>
                <w:color w:val="auto"/>
                <w:highlight w:val="none"/>
              </w:rPr>
              <w:t>与苏州工业园区总体规划审查意见相符。目前，</w:t>
            </w:r>
            <w:r>
              <w:rPr>
                <w:rFonts w:hint="eastAsia" w:hAnsi="宋体"/>
                <w:color w:val="auto"/>
                <w:highlight w:val="none"/>
              </w:rPr>
              <w:t>《苏州工业园区总体规划（2012-2030）环境影响跟踪评价》工作正在进行中。</w:t>
            </w:r>
          </w:p>
          <w:p>
            <w:pPr>
              <w:pStyle w:val="23"/>
              <w:spacing w:line="360" w:lineRule="auto"/>
              <w:ind w:firstLine="480" w:firstLineChars="200"/>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6" w:type="dxa"/>
            <w:vAlign w:val="center"/>
          </w:tcPr>
          <w:p>
            <w:pPr>
              <w:autoSpaceDE w:val="0"/>
              <w:autoSpaceDN w:val="0"/>
              <w:adjustRightInd w:val="0"/>
              <w:snapToGrid w:val="0"/>
              <w:spacing w:line="360" w:lineRule="auto"/>
              <w:jc w:val="center"/>
              <w:rPr>
                <w:color w:val="auto"/>
                <w:kern w:val="0"/>
                <w:sz w:val="24"/>
                <w:highlight w:val="none"/>
              </w:rPr>
            </w:pPr>
            <w:r>
              <w:rPr>
                <w:color w:val="auto"/>
                <w:kern w:val="0"/>
                <w:sz w:val="24"/>
                <w:highlight w:val="none"/>
              </w:rPr>
              <w:t>其他符合性分析</w:t>
            </w:r>
          </w:p>
        </w:tc>
        <w:tc>
          <w:tcPr>
            <w:tcW w:w="7864" w:type="dxa"/>
            <w:gridSpan w:val="3"/>
            <w:vAlign w:val="center"/>
          </w:tcPr>
          <w:p>
            <w:pPr>
              <w:autoSpaceDE w:val="0"/>
              <w:autoSpaceDN w:val="0"/>
              <w:adjustRightInd w:val="0"/>
              <w:snapToGrid w:val="0"/>
              <w:spacing w:line="360" w:lineRule="auto"/>
              <w:jc w:val="left"/>
              <w:rPr>
                <w:color w:val="auto"/>
                <w:sz w:val="24"/>
                <w:highlight w:val="none"/>
              </w:rPr>
            </w:pPr>
            <w:r>
              <w:rPr>
                <w:b/>
                <w:bCs/>
                <w:color w:val="auto"/>
                <w:sz w:val="24"/>
                <w:highlight w:val="none"/>
              </w:rPr>
              <w:t>1、产业政策相符性：</w:t>
            </w:r>
          </w:p>
          <w:p>
            <w:pPr>
              <w:autoSpaceDE w:val="0"/>
              <w:autoSpaceDN w:val="0"/>
              <w:adjustRightInd w:val="0"/>
              <w:snapToGrid w:val="0"/>
              <w:spacing w:line="360" w:lineRule="auto"/>
              <w:ind w:firstLine="480" w:firstLineChars="200"/>
              <w:jc w:val="left"/>
              <w:rPr>
                <w:color w:val="auto"/>
                <w:sz w:val="24"/>
                <w:highlight w:val="none"/>
              </w:rPr>
            </w:pPr>
            <w:r>
              <w:rPr>
                <w:color w:val="auto"/>
                <w:sz w:val="24"/>
                <w:highlight w:val="none"/>
              </w:rPr>
              <w:t>本项目属于《产业结构调整指导目录》（2</w:t>
            </w:r>
            <w:r>
              <w:rPr>
                <w:rFonts w:hint="eastAsia"/>
                <w:color w:val="auto"/>
                <w:sz w:val="24"/>
                <w:highlight w:val="none"/>
              </w:rPr>
              <w:t>024年本</w:t>
            </w:r>
            <w:r>
              <w:rPr>
                <w:color w:val="auto"/>
                <w:sz w:val="24"/>
                <w:highlight w:val="none"/>
              </w:rPr>
              <w:t>）第一类鼓励类中“二十二、城镇基础设施4、城市道路及智能交通体系建设”，不属于《苏州市产业发展导向目录（2007年本）》中限制、淘汰类</w:t>
            </w:r>
            <w:r>
              <w:rPr>
                <w:rFonts w:hint="eastAsia"/>
                <w:color w:val="auto"/>
                <w:sz w:val="24"/>
                <w:highlight w:val="none"/>
              </w:rPr>
              <w:t>；项目建议书已获得苏州工业园区行政审批局的批复，不属于《市场准入负面清单（2022年版）》中禁止事项。</w:t>
            </w:r>
          </w:p>
          <w:p>
            <w:pPr>
              <w:autoSpaceDE w:val="0"/>
              <w:autoSpaceDN w:val="0"/>
              <w:adjustRightInd w:val="0"/>
              <w:snapToGrid w:val="0"/>
              <w:spacing w:line="360" w:lineRule="auto"/>
              <w:rPr>
                <w:b/>
                <w:bCs/>
                <w:color w:val="auto"/>
                <w:sz w:val="24"/>
                <w:highlight w:val="none"/>
              </w:rPr>
            </w:pPr>
            <w:r>
              <w:rPr>
                <w:rFonts w:hint="eastAsia"/>
                <w:b/>
                <w:bCs/>
                <w:color w:val="auto"/>
                <w:sz w:val="24"/>
                <w:highlight w:val="none"/>
              </w:rPr>
              <w:t>2</w:t>
            </w:r>
            <w:r>
              <w:rPr>
                <w:b/>
                <w:bCs/>
                <w:color w:val="auto"/>
                <w:sz w:val="24"/>
                <w:highlight w:val="none"/>
              </w:rPr>
              <w:t>、“三线一单”相符性</w:t>
            </w:r>
          </w:p>
          <w:p>
            <w:pPr>
              <w:autoSpaceDE w:val="0"/>
              <w:autoSpaceDN w:val="0"/>
              <w:adjustRightInd w:val="0"/>
              <w:snapToGrid w:val="0"/>
              <w:spacing w:line="360" w:lineRule="auto"/>
              <w:ind w:firstLine="482" w:firstLineChars="200"/>
              <w:rPr>
                <w:b/>
                <w:bCs/>
                <w:color w:val="auto"/>
                <w:sz w:val="24"/>
                <w:highlight w:val="none"/>
              </w:rPr>
            </w:pPr>
            <w:r>
              <w:rPr>
                <w:b/>
                <w:bCs/>
                <w:color w:val="auto"/>
                <w:sz w:val="24"/>
                <w:highlight w:val="none"/>
              </w:rPr>
              <w:t>①与生态红线相符性分析</w:t>
            </w:r>
          </w:p>
          <w:p>
            <w:pPr>
              <w:spacing w:line="360" w:lineRule="auto"/>
              <w:ind w:firstLine="480" w:firstLineChars="200"/>
              <w:jc w:val="left"/>
              <w:rPr>
                <w:color w:val="auto"/>
                <w:sz w:val="24"/>
                <w:highlight w:val="none"/>
              </w:rPr>
            </w:pPr>
            <w:r>
              <w:rPr>
                <w:rFonts w:hint="eastAsia"/>
                <w:color w:val="auto"/>
                <w:kern w:val="0"/>
                <w:sz w:val="24"/>
                <w:highlight w:val="none"/>
              </w:rPr>
              <w:t xml:space="preserve">本项目为苏州工业园区市政建设管理中心建设扬东路工程项目，西起园区界外塘河，向东下穿苏嘉杭高速高架桥，东至扬帆路，路线全长约 </w:t>
            </w:r>
            <w:r>
              <w:rPr>
                <w:color w:val="auto"/>
                <w:kern w:val="0"/>
                <w:sz w:val="24"/>
                <w:highlight w:val="none"/>
              </w:rPr>
              <w:t>0.35km</w:t>
            </w:r>
            <w:r>
              <w:rPr>
                <w:rFonts w:hint="eastAsia"/>
                <w:color w:val="auto"/>
                <w:kern w:val="0"/>
                <w:sz w:val="24"/>
                <w:highlight w:val="none"/>
              </w:rPr>
              <w:t>，其中扬帆路交叉口不在项目范围内。</w:t>
            </w:r>
            <w:r>
              <w:rPr>
                <w:rFonts w:hint="eastAsia"/>
                <w:color w:val="auto"/>
                <w:sz w:val="24"/>
                <w:highlight w:val="none"/>
              </w:rPr>
              <w:t>项目不在《江苏省国家级生态保护红线规划》划定的生态保护红线内。</w:t>
            </w:r>
          </w:p>
          <w:p>
            <w:pPr>
              <w:spacing w:line="360" w:lineRule="auto"/>
              <w:ind w:firstLine="480" w:firstLineChars="200"/>
              <w:jc w:val="left"/>
              <w:rPr>
                <w:color w:val="auto"/>
                <w:kern w:val="0"/>
                <w:sz w:val="24"/>
                <w:highlight w:val="none"/>
              </w:rPr>
            </w:pPr>
            <w:r>
              <w:rPr>
                <w:rFonts w:hint="eastAsia"/>
                <w:color w:val="auto"/>
                <w:kern w:val="0"/>
                <w:sz w:val="24"/>
                <w:highlight w:val="none"/>
              </w:rPr>
              <w:t>经查询《省政府关于印发江苏省生态空间管控区域规划的通知》（苏政发[2020] 1号）和 《苏州工业园区2022年度生态空间管控区域调整方案》，距离项目最近的生态管控区域为北侧350m处的阳澄湖（苏州工业园区）重要湿地，项目不在江苏省</w:t>
            </w:r>
            <w:r>
              <w:rPr>
                <w:rFonts w:hint="eastAsia"/>
                <w:color w:val="auto"/>
                <w:sz w:val="24"/>
                <w:highlight w:val="none"/>
              </w:rPr>
              <w:t>生态管控区 （金鸡湖重要湿地）</w:t>
            </w:r>
            <w:r>
              <w:rPr>
                <w:rFonts w:hint="eastAsia"/>
                <w:color w:val="auto"/>
                <w:kern w:val="0"/>
                <w:sz w:val="24"/>
                <w:highlight w:val="none"/>
              </w:rPr>
              <w:t>范围内，符合《江苏省生态空间管控区域规划》相关要求。</w:t>
            </w:r>
          </w:p>
          <w:p>
            <w:pPr>
              <w:spacing w:line="360" w:lineRule="auto"/>
              <w:ind w:firstLine="480" w:firstLineChars="200"/>
              <w:jc w:val="left"/>
              <w:rPr>
                <w:color w:val="auto"/>
                <w:sz w:val="24"/>
                <w:highlight w:val="none"/>
              </w:rPr>
            </w:pPr>
            <w:r>
              <w:rPr>
                <w:color w:val="auto"/>
                <w:sz w:val="24"/>
                <w:highlight w:val="none"/>
              </w:rPr>
              <w:t>对照《江苏省国家级生态保护红线规划》（苏政发[2018]74 号）和《江苏省生态空间管控区域规划》（苏政发[2020]1号）</w:t>
            </w:r>
            <w:r>
              <w:rPr>
                <w:rFonts w:hint="eastAsia"/>
                <w:color w:val="auto"/>
                <w:sz w:val="24"/>
                <w:highlight w:val="none"/>
              </w:rPr>
              <w:t>及《苏州工业园区2022年度</w:t>
            </w:r>
            <w:r>
              <w:rPr>
                <w:rFonts w:hint="eastAsia"/>
                <w:color w:val="auto"/>
                <w:kern w:val="0"/>
                <w:sz w:val="24"/>
                <w:highlight w:val="none"/>
              </w:rPr>
              <w:t>生态空间管控区域调整方案</w:t>
            </w:r>
            <w:r>
              <w:rPr>
                <w:rFonts w:hint="eastAsia"/>
                <w:color w:val="auto"/>
                <w:sz w:val="24"/>
                <w:highlight w:val="none"/>
              </w:rPr>
              <w:t>》</w:t>
            </w:r>
            <w:r>
              <w:rPr>
                <w:color w:val="auto"/>
                <w:sz w:val="24"/>
                <w:highlight w:val="none"/>
              </w:rPr>
              <w:t>，本项目</w:t>
            </w:r>
            <w:r>
              <w:rPr>
                <w:rFonts w:hint="eastAsia"/>
                <w:color w:val="auto"/>
                <w:sz w:val="24"/>
                <w:highlight w:val="none"/>
              </w:rPr>
              <w:t>周边</w:t>
            </w:r>
            <w:r>
              <w:rPr>
                <w:color w:val="auto"/>
                <w:sz w:val="24"/>
                <w:highlight w:val="none"/>
              </w:rPr>
              <w:t>的生态空间保护区域</w:t>
            </w:r>
            <w:r>
              <w:rPr>
                <w:rFonts w:hint="eastAsia"/>
                <w:color w:val="auto"/>
                <w:sz w:val="24"/>
                <w:highlight w:val="none"/>
              </w:rPr>
              <w:t>情况见</w:t>
            </w:r>
            <w:r>
              <w:rPr>
                <w:color w:val="auto"/>
                <w:sz w:val="24"/>
                <w:highlight w:val="none"/>
              </w:rPr>
              <w:t>表 1-1。</w:t>
            </w:r>
          </w:p>
          <w:p>
            <w:pPr>
              <w:pStyle w:val="23"/>
              <w:jc w:val="center"/>
              <w:rPr>
                <w:color w:val="auto"/>
                <w:highlight w:val="none"/>
              </w:rPr>
            </w:pPr>
            <w:r>
              <w:rPr>
                <w:b/>
                <w:color w:val="auto"/>
                <w:highlight w:val="none"/>
              </w:rPr>
              <w:t>表 1-1 项目附近江苏省生态红线/空间管控区域</w:t>
            </w:r>
          </w:p>
          <w:tbl>
            <w:tblPr>
              <w:tblStyle w:val="18"/>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0"/>
              <w:gridCol w:w="963"/>
              <w:gridCol w:w="917"/>
              <w:gridCol w:w="1327"/>
              <w:gridCol w:w="1278"/>
              <w:gridCol w:w="845"/>
              <w:gridCol w:w="741"/>
              <w:gridCol w:w="6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575" w:type="pct"/>
                  <w:vMerge w:val="restart"/>
                  <w:vAlign w:val="center"/>
                </w:tcPr>
                <w:p>
                  <w:pPr>
                    <w:pStyle w:val="31"/>
                    <w:widowControl/>
                    <w:spacing w:before="48" w:after="48"/>
                    <w:rPr>
                      <w:rFonts w:hAnsi="Times New Roman"/>
                      <w:b/>
                      <w:bCs/>
                      <w:color w:val="auto"/>
                      <w:highlight w:val="none"/>
                    </w:rPr>
                  </w:pPr>
                  <w:r>
                    <w:rPr>
                      <w:rFonts w:hAnsi="Times New Roman"/>
                      <w:b/>
                      <w:bCs/>
                      <w:color w:val="auto"/>
                      <w:kern w:val="0"/>
                      <w:highlight w:val="none"/>
                    </w:rPr>
                    <w:t>生态空间保护区域名称</w:t>
                  </w:r>
                </w:p>
              </w:tc>
              <w:tc>
                <w:tcPr>
                  <w:tcW w:w="630" w:type="pct"/>
                  <w:vMerge w:val="restart"/>
                  <w:vAlign w:val="center"/>
                </w:tcPr>
                <w:p>
                  <w:pPr>
                    <w:pStyle w:val="31"/>
                    <w:widowControl/>
                    <w:spacing w:before="48" w:after="48"/>
                    <w:rPr>
                      <w:rFonts w:hAnsi="Times New Roman"/>
                      <w:b/>
                      <w:bCs/>
                      <w:color w:val="auto"/>
                      <w:highlight w:val="none"/>
                    </w:rPr>
                  </w:pPr>
                  <w:r>
                    <w:rPr>
                      <w:rFonts w:hAnsi="Times New Roman"/>
                      <w:b/>
                      <w:bCs/>
                      <w:color w:val="auto"/>
                      <w:highlight w:val="none"/>
                    </w:rPr>
                    <w:t>主导生态功能</w:t>
                  </w:r>
                </w:p>
              </w:tc>
              <w:tc>
                <w:tcPr>
                  <w:tcW w:w="600" w:type="pct"/>
                  <w:vMerge w:val="restart"/>
                  <w:vAlign w:val="center"/>
                </w:tcPr>
                <w:p>
                  <w:pPr>
                    <w:pStyle w:val="31"/>
                    <w:widowControl/>
                    <w:spacing w:before="48" w:after="48"/>
                    <w:rPr>
                      <w:rFonts w:hAnsi="Times New Roman"/>
                      <w:color w:val="auto"/>
                      <w:highlight w:val="none"/>
                    </w:rPr>
                  </w:pPr>
                  <w:r>
                    <w:rPr>
                      <w:rFonts w:hAnsi="Times New Roman"/>
                      <w:b/>
                      <w:bCs/>
                      <w:color w:val="auto"/>
                      <w:highlight w:val="none"/>
                    </w:rPr>
                    <w:t>方位/距离</w:t>
                  </w:r>
                  <w:r>
                    <w:rPr>
                      <w:rFonts w:hint="eastAsia" w:hAnsi="Times New Roman"/>
                      <w:b/>
                      <w:bCs/>
                      <w:color w:val="auto"/>
                      <w:highlight w:val="none"/>
                    </w:rPr>
                    <w:t>（m）</w:t>
                  </w:r>
                </w:p>
              </w:tc>
              <w:tc>
                <w:tcPr>
                  <w:tcW w:w="1704" w:type="pct"/>
                  <w:gridSpan w:val="2"/>
                  <w:vAlign w:val="center"/>
                </w:tcPr>
                <w:p>
                  <w:pPr>
                    <w:pStyle w:val="31"/>
                    <w:widowControl/>
                    <w:spacing w:before="48" w:after="48"/>
                    <w:rPr>
                      <w:rFonts w:hAnsi="Times New Roman"/>
                      <w:b/>
                      <w:bCs/>
                      <w:color w:val="auto"/>
                      <w:highlight w:val="none"/>
                    </w:rPr>
                  </w:pPr>
                  <w:r>
                    <w:rPr>
                      <w:rFonts w:hAnsi="Times New Roman"/>
                      <w:b/>
                      <w:bCs/>
                      <w:color w:val="auto"/>
                      <w:highlight w:val="none"/>
                    </w:rPr>
                    <w:t>生态红线区域范围</w:t>
                  </w:r>
                </w:p>
              </w:tc>
              <w:tc>
                <w:tcPr>
                  <w:tcW w:w="1490" w:type="pct"/>
                  <w:gridSpan w:val="3"/>
                  <w:vAlign w:val="center"/>
                </w:tcPr>
                <w:p>
                  <w:pPr>
                    <w:pStyle w:val="31"/>
                    <w:widowControl/>
                    <w:spacing w:before="48" w:after="48"/>
                    <w:rPr>
                      <w:rFonts w:hAnsi="Times New Roman"/>
                      <w:b/>
                      <w:bCs/>
                      <w:color w:val="auto"/>
                      <w:highlight w:val="none"/>
                    </w:rPr>
                  </w:pPr>
                  <w:r>
                    <w:rPr>
                      <w:rFonts w:hAnsi="Times New Roman"/>
                      <w:b/>
                      <w:bCs/>
                      <w:color w:val="auto"/>
                      <w:highlight w:val="none"/>
                    </w:rPr>
                    <w:t>面积（km</w:t>
                  </w:r>
                  <w:r>
                    <w:rPr>
                      <w:rFonts w:hAnsi="Times New Roman"/>
                      <w:b/>
                      <w:bCs/>
                      <w:color w:val="auto"/>
                      <w:highlight w:val="none"/>
                      <w:vertAlign w:val="superscript"/>
                    </w:rPr>
                    <w:t>2</w:t>
                  </w:r>
                  <w:r>
                    <w:rPr>
                      <w:rFonts w:hAnsi="Times New Roman"/>
                      <w:b/>
                      <w:bCs/>
                      <w:color w:val="auto"/>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5" w:hRule="exact"/>
                <w:jc w:val="center"/>
              </w:trPr>
              <w:tc>
                <w:tcPr>
                  <w:tcW w:w="575" w:type="pct"/>
                  <w:vMerge w:val="continue"/>
                  <w:vAlign w:val="center"/>
                </w:tcPr>
                <w:p>
                  <w:pPr>
                    <w:pStyle w:val="31"/>
                    <w:widowControl/>
                    <w:spacing w:before="48" w:after="48"/>
                    <w:ind w:firstLine="480"/>
                    <w:rPr>
                      <w:rFonts w:hAnsi="Times New Roman"/>
                      <w:color w:val="auto"/>
                      <w:highlight w:val="none"/>
                    </w:rPr>
                  </w:pPr>
                </w:p>
              </w:tc>
              <w:tc>
                <w:tcPr>
                  <w:tcW w:w="630" w:type="pct"/>
                  <w:vMerge w:val="continue"/>
                  <w:vAlign w:val="center"/>
                </w:tcPr>
                <w:p>
                  <w:pPr>
                    <w:pStyle w:val="31"/>
                    <w:widowControl/>
                    <w:spacing w:before="48" w:after="48"/>
                    <w:ind w:firstLine="480"/>
                    <w:rPr>
                      <w:rFonts w:hAnsi="Times New Roman"/>
                      <w:color w:val="auto"/>
                      <w:highlight w:val="none"/>
                    </w:rPr>
                  </w:pPr>
                </w:p>
              </w:tc>
              <w:tc>
                <w:tcPr>
                  <w:tcW w:w="600" w:type="pct"/>
                  <w:vMerge w:val="continue"/>
                  <w:vAlign w:val="center"/>
                </w:tcPr>
                <w:p>
                  <w:pPr>
                    <w:pStyle w:val="31"/>
                    <w:widowControl/>
                    <w:spacing w:before="48" w:after="48"/>
                    <w:rPr>
                      <w:rFonts w:hAnsi="Times New Roman"/>
                      <w:color w:val="auto"/>
                      <w:highlight w:val="none"/>
                    </w:rPr>
                  </w:pPr>
                </w:p>
              </w:tc>
              <w:tc>
                <w:tcPr>
                  <w:tcW w:w="868" w:type="pct"/>
                  <w:vAlign w:val="center"/>
                </w:tcPr>
                <w:p>
                  <w:pPr>
                    <w:widowControl/>
                    <w:adjustRightInd w:val="0"/>
                    <w:snapToGrid w:val="0"/>
                    <w:jc w:val="center"/>
                    <w:rPr>
                      <w:b/>
                      <w:bCs/>
                      <w:color w:val="auto"/>
                      <w:szCs w:val="21"/>
                      <w:highlight w:val="none"/>
                    </w:rPr>
                  </w:pPr>
                  <w:r>
                    <w:rPr>
                      <w:b/>
                      <w:bCs/>
                      <w:color w:val="auto"/>
                      <w:szCs w:val="21"/>
                      <w:highlight w:val="none"/>
                    </w:rPr>
                    <w:t>国家级生态保护红线范围</w:t>
                  </w:r>
                </w:p>
              </w:tc>
              <w:tc>
                <w:tcPr>
                  <w:tcW w:w="835" w:type="pct"/>
                  <w:vAlign w:val="center"/>
                </w:tcPr>
                <w:p>
                  <w:pPr>
                    <w:widowControl/>
                    <w:adjustRightInd w:val="0"/>
                    <w:snapToGrid w:val="0"/>
                    <w:jc w:val="center"/>
                    <w:rPr>
                      <w:b/>
                      <w:bCs/>
                      <w:color w:val="auto"/>
                      <w:szCs w:val="21"/>
                      <w:highlight w:val="none"/>
                    </w:rPr>
                  </w:pPr>
                  <w:r>
                    <w:rPr>
                      <w:b/>
                      <w:bCs/>
                      <w:color w:val="auto"/>
                      <w:szCs w:val="21"/>
                      <w:highlight w:val="none"/>
                    </w:rPr>
                    <w:t>生态空间管控区域范围</w:t>
                  </w:r>
                </w:p>
              </w:tc>
              <w:tc>
                <w:tcPr>
                  <w:tcW w:w="553" w:type="pct"/>
                  <w:vAlign w:val="center"/>
                </w:tcPr>
                <w:p>
                  <w:pPr>
                    <w:widowControl/>
                    <w:adjustRightInd w:val="0"/>
                    <w:snapToGrid w:val="0"/>
                    <w:jc w:val="center"/>
                    <w:rPr>
                      <w:b/>
                      <w:bCs/>
                      <w:color w:val="auto"/>
                      <w:szCs w:val="21"/>
                      <w:highlight w:val="none"/>
                    </w:rPr>
                  </w:pPr>
                  <w:r>
                    <w:rPr>
                      <w:b/>
                      <w:bCs/>
                      <w:color w:val="auto"/>
                      <w:szCs w:val="21"/>
                      <w:highlight w:val="none"/>
                    </w:rPr>
                    <w:t>国家级生态保护红线面积</w:t>
                  </w:r>
                </w:p>
              </w:tc>
              <w:tc>
                <w:tcPr>
                  <w:tcW w:w="485" w:type="pct"/>
                  <w:vAlign w:val="center"/>
                </w:tcPr>
                <w:p>
                  <w:pPr>
                    <w:widowControl/>
                    <w:adjustRightInd w:val="0"/>
                    <w:snapToGrid w:val="0"/>
                    <w:spacing w:line="240" w:lineRule="atLeast"/>
                    <w:jc w:val="center"/>
                    <w:rPr>
                      <w:b/>
                      <w:bCs/>
                      <w:color w:val="auto"/>
                      <w:szCs w:val="21"/>
                      <w:highlight w:val="none"/>
                    </w:rPr>
                  </w:pPr>
                  <w:r>
                    <w:rPr>
                      <w:b/>
                      <w:bCs/>
                      <w:color w:val="auto"/>
                      <w:szCs w:val="21"/>
                      <w:highlight w:val="none"/>
                    </w:rPr>
                    <w:t>生态空间管控区域面积</w:t>
                  </w:r>
                </w:p>
              </w:tc>
              <w:tc>
                <w:tcPr>
                  <w:tcW w:w="451" w:type="pct"/>
                  <w:vAlign w:val="center"/>
                </w:tcPr>
                <w:p>
                  <w:pPr>
                    <w:widowControl/>
                    <w:adjustRightInd w:val="0"/>
                    <w:snapToGrid w:val="0"/>
                    <w:jc w:val="center"/>
                    <w:rPr>
                      <w:b/>
                      <w:bCs/>
                      <w:color w:val="auto"/>
                      <w:szCs w:val="21"/>
                      <w:highlight w:val="none"/>
                    </w:rPr>
                  </w:pPr>
                  <w:r>
                    <w:rPr>
                      <w:b/>
                      <w:bCs/>
                      <w:color w:val="auto"/>
                      <w:szCs w:val="21"/>
                      <w:highlight w:val="none"/>
                    </w:rPr>
                    <w:t>总面积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575" w:type="pct"/>
                  <w:vAlign w:val="center"/>
                </w:tcPr>
                <w:p>
                  <w:pPr>
                    <w:widowControl/>
                    <w:adjustRightInd w:val="0"/>
                    <w:snapToGrid w:val="0"/>
                    <w:jc w:val="center"/>
                    <w:rPr>
                      <w:color w:val="auto"/>
                      <w:szCs w:val="21"/>
                      <w:highlight w:val="none"/>
                    </w:rPr>
                  </w:pPr>
                  <w:r>
                    <w:rPr>
                      <w:color w:val="auto"/>
                      <w:szCs w:val="21"/>
                      <w:highlight w:val="none"/>
                    </w:rPr>
                    <w:t>金鸡湖重要湿地</w:t>
                  </w:r>
                </w:p>
              </w:tc>
              <w:tc>
                <w:tcPr>
                  <w:tcW w:w="630" w:type="pct"/>
                  <w:vAlign w:val="center"/>
                </w:tcPr>
                <w:p>
                  <w:pPr>
                    <w:widowControl/>
                    <w:adjustRightInd w:val="0"/>
                    <w:snapToGrid w:val="0"/>
                    <w:jc w:val="center"/>
                    <w:rPr>
                      <w:color w:val="auto"/>
                      <w:szCs w:val="21"/>
                      <w:highlight w:val="none"/>
                    </w:rPr>
                  </w:pPr>
                  <w:r>
                    <w:rPr>
                      <w:color w:val="auto"/>
                      <w:szCs w:val="21"/>
                      <w:highlight w:val="none"/>
                    </w:rPr>
                    <w:t>湿地生态系统保护</w:t>
                  </w:r>
                </w:p>
              </w:tc>
              <w:tc>
                <w:tcPr>
                  <w:tcW w:w="600" w:type="pct"/>
                  <w:vAlign w:val="center"/>
                </w:tcPr>
                <w:p>
                  <w:pPr>
                    <w:pStyle w:val="31"/>
                    <w:widowControl/>
                    <w:spacing w:before="48" w:after="48"/>
                    <w:rPr>
                      <w:rFonts w:hAnsi="Times New Roman"/>
                      <w:color w:val="auto"/>
                      <w:highlight w:val="none"/>
                    </w:rPr>
                  </w:pPr>
                  <w:r>
                    <w:rPr>
                      <w:rFonts w:hint="eastAsia" w:hAnsi="Times New Roman"/>
                      <w:color w:val="auto"/>
                      <w:highlight w:val="none"/>
                    </w:rPr>
                    <w:t>3500</w:t>
                  </w:r>
                </w:p>
                <w:p>
                  <w:pPr>
                    <w:jc w:val="center"/>
                    <w:rPr>
                      <w:color w:val="auto"/>
                      <w:highlight w:val="none"/>
                    </w:rPr>
                  </w:pPr>
                  <w:r>
                    <w:rPr>
                      <w:rFonts w:hint="eastAsia"/>
                      <w:color w:val="auto"/>
                      <w:highlight w:val="none"/>
                    </w:rPr>
                    <w:t>SE</w:t>
                  </w:r>
                </w:p>
              </w:tc>
              <w:tc>
                <w:tcPr>
                  <w:tcW w:w="868" w:type="pct"/>
                  <w:vAlign w:val="center"/>
                </w:tcPr>
                <w:p>
                  <w:pPr>
                    <w:widowControl/>
                    <w:adjustRightInd w:val="0"/>
                    <w:snapToGrid w:val="0"/>
                    <w:jc w:val="center"/>
                    <w:rPr>
                      <w:color w:val="auto"/>
                      <w:szCs w:val="21"/>
                      <w:highlight w:val="none"/>
                    </w:rPr>
                  </w:pPr>
                  <w:r>
                    <w:rPr>
                      <w:color w:val="auto"/>
                      <w:szCs w:val="21"/>
                      <w:highlight w:val="none"/>
                    </w:rPr>
                    <w:t>/</w:t>
                  </w:r>
                </w:p>
              </w:tc>
              <w:tc>
                <w:tcPr>
                  <w:tcW w:w="835" w:type="pct"/>
                  <w:vAlign w:val="center"/>
                </w:tcPr>
                <w:p>
                  <w:pPr>
                    <w:widowControl/>
                    <w:adjustRightInd w:val="0"/>
                    <w:snapToGrid w:val="0"/>
                    <w:jc w:val="center"/>
                    <w:rPr>
                      <w:color w:val="auto"/>
                      <w:szCs w:val="21"/>
                      <w:highlight w:val="none"/>
                    </w:rPr>
                  </w:pPr>
                  <w:r>
                    <w:rPr>
                      <w:color w:val="auto"/>
                      <w:szCs w:val="21"/>
                      <w:highlight w:val="none"/>
                    </w:rPr>
                    <w:t>金鸡湖水体范围</w:t>
                  </w:r>
                </w:p>
              </w:tc>
              <w:tc>
                <w:tcPr>
                  <w:tcW w:w="553" w:type="pct"/>
                  <w:vAlign w:val="center"/>
                </w:tcPr>
                <w:p>
                  <w:pPr>
                    <w:pStyle w:val="31"/>
                    <w:widowControl/>
                    <w:spacing w:before="48" w:after="48"/>
                    <w:rPr>
                      <w:rFonts w:hAnsi="Times New Roman"/>
                      <w:color w:val="auto"/>
                      <w:highlight w:val="none"/>
                    </w:rPr>
                  </w:pPr>
                  <w:r>
                    <w:rPr>
                      <w:rFonts w:hAnsi="Times New Roman"/>
                      <w:color w:val="auto"/>
                      <w:highlight w:val="none"/>
                    </w:rPr>
                    <w:t>/</w:t>
                  </w:r>
                </w:p>
              </w:tc>
              <w:tc>
                <w:tcPr>
                  <w:tcW w:w="485" w:type="pct"/>
                  <w:vAlign w:val="center"/>
                </w:tcPr>
                <w:p>
                  <w:pPr>
                    <w:pStyle w:val="31"/>
                    <w:widowControl/>
                    <w:spacing w:before="48" w:after="48"/>
                    <w:rPr>
                      <w:rFonts w:hAnsi="Times New Roman"/>
                      <w:color w:val="auto"/>
                      <w:highlight w:val="none"/>
                    </w:rPr>
                  </w:pPr>
                  <w:r>
                    <w:rPr>
                      <w:rFonts w:hAnsi="Times New Roman"/>
                      <w:color w:val="auto"/>
                      <w:highlight w:val="none"/>
                    </w:rPr>
                    <w:t>6.77</w:t>
                  </w:r>
                </w:p>
              </w:tc>
              <w:tc>
                <w:tcPr>
                  <w:tcW w:w="451" w:type="pct"/>
                  <w:vAlign w:val="center"/>
                </w:tcPr>
                <w:p>
                  <w:pPr>
                    <w:pStyle w:val="31"/>
                    <w:widowControl/>
                    <w:spacing w:before="48" w:after="48"/>
                    <w:rPr>
                      <w:rFonts w:hAnsi="Times New Roman"/>
                      <w:color w:val="auto"/>
                      <w:highlight w:val="none"/>
                    </w:rPr>
                  </w:pPr>
                  <w:r>
                    <w:rPr>
                      <w:rFonts w:hAnsi="Times New Roman"/>
                      <w:color w:val="auto"/>
                      <w:highlight w:val="none"/>
                    </w:rPr>
                    <w:t>6.77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75" w:type="pct"/>
                  <w:vAlign w:val="center"/>
                </w:tcPr>
                <w:p>
                  <w:pPr>
                    <w:widowControl/>
                    <w:adjustRightInd w:val="0"/>
                    <w:snapToGrid w:val="0"/>
                    <w:jc w:val="center"/>
                    <w:rPr>
                      <w:color w:val="auto"/>
                      <w:szCs w:val="21"/>
                      <w:highlight w:val="none"/>
                    </w:rPr>
                  </w:pPr>
                  <w:r>
                    <w:rPr>
                      <w:color w:val="auto"/>
                      <w:szCs w:val="21"/>
                      <w:highlight w:val="none"/>
                    </w:rPr>
                    <w:t>独墅湖重要湿地</w:t>
                  </w:r>
                </w:p>
              </w:tc>
              <w:tc>
                <w:tcPr>
                  <w:tcW w:w="630" w:type="pct"/>
                  <w:vAlign w:val="center"/>
                </w:tcPr>
                <w:p>
                  <w:pPr>
                    <w:widowControl/>
                    <w:adjustRightInd w:val="0"/>
                    <w:snapToGrid w:val="0"/>
                    <w:jc w:val="center"/>
                    <w:rPr>
                      <w:color w:val="auto"/>
                      <w:szCs w:val="21"/>
                      <w:highlight w:val="none"/>
                    </w:rPr>
                  </w:pPr>
                  <w:r>
                    <w:rPr>
                      <w:color w:val="auto"/>
                      <w:szCs w:val="21"/>
                      <w:highlight w:val="none"/>
                    </w:rPr>
                    <w:t>湿地生态系统保护</w:t>
                  </w:r>
                </w:p>
              </w:tc>
              <w:tc>
                <w:tcPr>
                  <w:tcW w:w="600" w:type="pct"/>
                  <w:vAlign w:val="center"/>
                </w:tcPr>
                <w:p>
                  <w:pPr>
                    <w:jc w:val="center"/>
                    <w:rPr>
                      <w:color w:val="auto"/>
                      <w:highlight w:val="none"/>
                    </w:rPr>
                  </w:pPr>
                  <w:r>
                    <w:rPr>
                      <w:rFonts w:hint="eastAsia"/>
                      <w:color w:val="auto"/>
                      <w:highlight w:val="none"/>
                    </w:rPr>
                    <w:t>5400</w:t>
                  </w:r>
                </w:p>
                <w:p>
                  <w:pPr>
                    <w:jc w:val="center"/>
                    <w:rPr>
                      <w:color w:val="auto"/>
                      <w:highlight w:val="none"/>
                    </w:rPr>
                  </w:pPr>
                  <w:r>
                    <w:rPr>
                      <w:rFonts w:hint="eastAsia"/>
                      <w:color w:val="auto"/>
                      <w:highlight w:val="none"/>
                    </w:rPr>
                    <w:t>SE</w:t>
                  </w:r>
                </w:p>
              </w:tc>
              <w:tc>
                <w:tcPr>
                  <w:tcW w:w="868" w:type="pct"/>
                  <w:vAlign w:val="center"/>
                </w:tcPr>
                <w:p>
                  <w:pPr>
                    <w:widowControl/>
                    <w:adjustRightInd w:val="0"/>
                    <w:snapToGrid w:val="0"/>
                    <w:jc w:val="center"/>
                    <w:rPr>
                      <w:color w:val="auto"/>
                      <w:szCs w:val="21"/>
                      <w:highlight w:val="none"/>
                    </w:rPr>
                  </w:pPr>
                  <w:r>
                    <w:rPr>
                      <w:color w:val="auto"/>
                      <w:szCs w:val="21"/>
                      <w:highlight w:val="none"/>
                    </w:rPr>
                    <w:t>/</w:t>
                  </w:r>
                </w:p>
              </w:tc>
              <w:tc>
                <w:tcPr>
                  <w:tcW w:w="835" w:type="pct"/>
                  <w:vAlign w:val="center"/>
                </w:tcPr>
                <w:p>
                  <w:pPr>
                    <w:widowControl/>
                    <w:adjustRightInd w:val="0"/>
                    <w:snapToGrid w:val="0"/>
                    <w:jc w:val="center"/>
                    <w:rPr>
                      <w:color w:val="auto"/>
                      <w:szCs w:val="21"/>
                      <w:highlight w:val="none"/>
                    </w:rPr>
                  </w:pPr>
                  <w:r>
                    <w:rPr>
                      <w:color w:val="auto"/>
                      <w:szCs w:val="21"/>
                      <w:highlight w:val="none"/>
                    </w:rPr>
                    <w:t>独墅湖水体范围</w:t>
                  </w:r>
                </w:p>
              </w:tc>
              <w:tc>
                <w:tcPr>
                  <w:tcW w:w="553" w:type="pct"/>
                  <w:vAlign w:val="center"/>
                </w:tcPr>
                <w:p>
                  <w:pPr>
                    <w:pStyle w:val="31"/>
                    <w:widowControl/>
                    <w:spacing w:before="48" w:after="48"/>
                    <w:rPr>
                      <w:rFonts w:hAnsi="Times New Roman"/>
                      <w:color w:val="auto"/>
                      <w:highlight w:val="none"/>
                    </w:rPr>
                  </w:pPr>
                  <w:r>
                    <w:rPr>
                      <w:rFonts w:hAnsi="Times New Roman"/>
                      <w:color w:val="auto"/>
                      <w:highlight w:val="none"/>
                    </w:rPr>
                    <w:t>/</w:t>
                  </w:r>
                </w:p>
              </w:tc>
              <w:tc>
                <w:tcPr>
                  <w:tcW w:w="485" w:type="pct"/>
                  <w:vAlign w:val="center"/>
                </w:tcPr>
                <w:p>
                  <w:pPr>
                    <w:pStyle w:val="31"/>
                    <w:widowControl/>
                    <w:spacing w:before="48" w:after="48"/>
                    <w:rPr>
                      <w:rFonts w:hAnsi="Times New Roman"/>
                      <w:color w:val="auto"/>
                      <w:highlight w:val="none"/>
                    </w:rPr>
                  </w:pPr>
                  <w:r>
                    <w:rPr>
                      <w:rFonts w:hAnsi="Times New Roman"/>
                      <w:color w:val="auto"/>
                      <w:highlight w:val="none"/>
                    </w:rPr>
                    <w:t>9.08</w:t>
                  </w:r>
                </w:p>
              </w:tc>
              <w:tc>
                <w:tcPr>
                  <w:tcW w:w="451" w:type="pct"/>
                  <w:vAlign w:val="center"/>
                </w:tcPr>
                <w:p>
                  <w:pPr>
                    <w:pStyle w:val="31"/>
                    <w:widowControl/>
                    <w:spacing w:before="48" w:after="48"/>
                    <w:rPr>
                      <w:rFonts w:hAnsi="Times New Roman"/>
                      <w:color w:val="auto"/>
                      <w:highlight w:val="none"/>
                    </w:rPr>
                  </w:pPr>
                  <w:r>
                    <w:rPr>
                      <w:rFonts w:hAnsi="Times New Roman"/>
                      <w:color w:val="auto"/>
                      <w:highlight w:val="none"/>
                    </w:rPr>
                    <w:t>9.08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5" w:type="pct"/>
                  <w:vAlign w:val="center"/>
                </w:tcPr>
                <w:p>
                  <w:pPr>
                    <w:widowControl/>
                    <w:adjustRightInd w:val="0"/>
                    <w:snapToGrid w:val="0"/>
                    <w:jc w:val="center"/>
                    <w:rPr>
                      <w:color w:val="auto"/>
                      <w:szCs w:val="21"/>
                      <w:highlight w:val="none"/>
                    </w:rPr>
                  </w:pPr>
                  <w:r>
                    <w:rPr>
                      <w:color w:val="auto"/>
                      <w:szCs w:val="21"/>
                      <w:highlight w:val="none"/>
                    </w:rPr>
                    <w:t>阳澄湖（工业园区）重要湿地</w:t>
                  </w:r>
                </w:p>
              </w:tc>
              <w:tc>
                <w:tcPr>
                  <w:tcW w:w="630" w:type="pct"/>
                  <w:vAlign w:val="center"/>
                </w:tcPr>
                <w:p>
                  <w:pPr>
                    <w:widowControl/>
                    <w:adjustRightInd w:val="0"/>
                    <w:snapToGrid w:val="0"/>
                    <w:jc w:val="center"/>
                    <w:rPr>
                      <w:color w:val="auto"/>
                      <w:szCs w:val="21"/>
                      <w:highlight w:val="none"/>
                    </w:rPr>
                  </w:pPr>
                  <w:r>
                    <w:rPr>
                      <w:color w:val="auto"/>
                      <w:szCs w:val="21"/>
                      <w:highlight w:val="none"/>
                    </w:rPr>
                    <w:t>湿地生态系统保护</w:t>
                  </w:r>
                </w:p>
              </w:tc>
              <w:tc>
                <w:tcPr>
                  <w:tcW w:w="600" w:type="pct"/>
                  <w:vAlign w:val="center"/>
                </w:tcPr>
                <w:p>
                  <w:pPr>
                    <w:jc w:val="center"/>
                    <w:rPr>
                      <w:color w:val="auto"/>
                      <w:highlight w:val="none"/>
                    </w:rPr>
                  </w:pPr>
                  <w:r>
                    <w:rPr>
                      <w:rFonts w:hint="eastAsia"/>
                      <w:color w:val="auto"/>
                      <w:highlight w:val="none"/>
                    </w:rPr>
                    <w:t>350</w:t>
                  </w:r>
                </w:p>
                <w:p>
                  <w:pPr>
                    <w:jc w:val="center"/>
                    <w:rPr>
                      <w:color w:val="auto"/>
                      <w:highlight w:val="none"/>
                    </w:rPr>
                  </w:pPr>
                  <w:r>
                    <w:rPr>
                      <w:rFonts w:hint="eastAsia"/>
                      <w:color w:val="auto"/>
                      <w:highlight w:val="none"/>
                    </w:rPr>
                    <w:t>N</w:t>
                  </w:r>
                </w:p>
              </w:tc>
              <w:tc>
                <w:tcPr>
                  <w:tcW w:w="868" w:type="pct"/>
                  <w:vAlign w:val="center"/>
                </w:tcPr>
                <w:p>
                  <w:pPr>
                    <w:widowControl/>
                    <w:adjustRightInd w:val="0"/>
                    <w:snapToGrid w:val="0"/>
                    <w:jc w:val="center"/>
                    <w:rPr>
                      <w:color w:val="auto"/>
                      <w:szCs w:val="21"/>
                      <w:highlight w:val="none"/>
                    </w:rPr>
                  </w:pPr>
                  <w:r>
                    <w:rPr>
                      <w:color w:val="auto"/>
                      <w:szCs w:val="21"/>
                      <w:highlight w:val="none"/>
                    </w:rPr>
                    <w:t>/</w:t>
                  </w:r>
                </w:p>
              </w:tc>
              <w:tc>
                <w:tcPr>
                  <w:tcW w:w="835" w:type="pct"/>
                  <w:vAlign w:val="center"/>
                </w:tcPr>
                <w:p>
                  <w:pPr>
                    <w:widowControl/>
                    <w:adjustRightInd w:val="0"/>
                    <w:snapToGrid w:val="0"/>
                    <w:jc w:val="center"/>
                    <w:rPr>
                      <w:color w:val="auto"/>
                      <w:spacing w:val="-6"/>
                      <w:szCs w:val="21"/>
                      <w:highlight w:val="none"/>
                    </w:rPr>
                  </w:pPr>
                  <w:r>
                    <w:rPr>
                      <w:color w:val="auto"/>
                      <w:spacing w:val="-6"/>
                      <w:szCs w:val="21"/>
                      <w:highlight w:val="none"/>
                    </w:rPr>
                    <w:t>阳澄湖水域及沿岸纵深1000m范围</w:t>
                  </w:r>
                </w:p>
              </w:tc>
              <w:tc>
                <w:tcPr>
                  <w:tcW w:w="553" w:type="pct"/>
                  <w:vAlign w:val="center"/>
                </w:tcPr>
                <w:p>
                  <w:pPr>
                    <w:pStyle w:val="31"/>
                    <w:widowControl/>
                    <w:spacing w:before="48" w:after="48"/>
                    <w:rPr>
                      <w:rFonts w:hAnsi="Times New Roman"/>
                      <w:color w:val="auto"/>
                      <w:highlight w:val="none"/>
                    </w:rPr>
                  </w:pPr>
                  <w:r>
                    <w:rPr>
                      <w:rFonts w:hAnsi="Times New Roman"/>
                      <w:color w:val="auto"/>
                      <w:highlight w:val="none"/>
                    </w:rPr>
                    <w:t>/</w:t>
                  </w:r>
                </w:p>
              </w:tc>
              <w:tc>
                <w:tcPr>
                  <w:tcW w:w="485" w:type="pct"/>
                  <w:vAlign w:val="center"/>
                </w:tcPr>
                <w:p>
                  <w:pPr>
                    <w:widowControl/>
                    <w:spacing w:line="280" w:lineRule="exact"/>
                    <w:jc w:val="center"/>
                    <w:textAlignment w:val="center"/>
                    <w:rPr>
                      <w:color w:val="auto"/>
                      <w:szCs w:val="21"/>
                      <w:highlight w:val="none"/>
                    </w:rPr>
                  </w:pPr>
                  <w:r>
                    <w:rPr>
                      <w:color w:val="auto"/>
                      <w:szCs w:val="21"/>
                      <w:highlight w:val="none"/>
                    </w:rPr>
                    <w:t>68.2</w:t>
                  </w:r>
                </w:p>
              </w:tc>
              <w:tc>
                <w:tcPr>
                  <w:tcW w:w="451" w:type="pct"/>
                  <w:vAlign w:val="center"/>
                </w:tcPr>
                <w:p>
                  <w:pPr>
                    <w:widowControl/>
                    <w:spacing w:line="280" w:lineRule="exact"/>
                    <w:jc w:val="center"/>
                    <w:textAlignment w:val="center"/>
                    <w:rPr>
                      <w:color w:val="auto"/>
                      <w:szCs w:val="21"/>
                      <w:highlight w:val="none"/>
                    </w:rPr>
                  </w:pPr>
                  <w:r>
                    <w:rPr>
                      <w:color w:val="auto"/>
                      <w:szCs w:val="21"/>
                      <w:highlight w:val="none"/>
                    </w:rPr>
                    <w:t>68.2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3" w:hRule="atLeast"/>
                <w:jc w:val="center"/>
              </w:trPr>
              <w:tc>
                <w:tcPr>
                  <w:tcW w:w="575" w:type="pct"/>
                  <w:vAlign w:val="center"/>
                </w:tcPr>
                <w:p>
                  <w:pPr>
                    <w:adjustRightInd w:val="0"/>
                    <w:jc w:val="center"/>
                    <w:rPr>
                      <w:color w:val="auto"/>
                      <w:szCs w:val="21"/>
                      <w:highlight w:val="none"/>
                    </w:rPr>
                  </w:pPr>
                  <w:r>
                    <w:rPr>
                      <w:rFonts w:hint="eastAsia"/>
                      <w:color w:val="auto"/>
                      <w:szCs w:val="21"/>
                      <w:highlight w:val="none"/>
                    </w:rPr>
                    <w:t>吴淞江重要湿地</w:t>
                  </w:r>
                </w:p>
              </w:tc>
              <w:tc>
                <w:tcPr>
                  <w:tcW w:w="630" w:type="pct"/>
                  <w:vAlign w:val="center"/>
                </w:tcPr>
                <w:p>
                  <w:pPr>
                    <w:jc w:val="center"/>
                    <w:rPr>
                      <w:color w:val="auto"/>
                      <w:szCs w:val="21"/>
                      <w:highlight w:val="none"/>
                    </w:rPr>
                  </w:pPr>
                  <w:r>
                    <w:rPr>
                      <w:color w:val="auto"/>
                      <w:szCs w:val="21"/>
                      <w:highlight w:val="none"/>
                    </w:rPr>
                    <w:t>湿地生态系统保护</w:t>
                  </w:r>
                </w:p>
              </w:tc>
              <w:tc>
                <w:tcPr>
                  <w:tcW w:w="600" w:type="pct"/>
                  <w:vAlign w:val="center"/>
                </w:tcPr>
                <w:p>
                  <w:pPr>
                    <w:jc w:val="center"/>
                    <w:rPr>
                      <w:color w:val="auto"/>
                      <w:highlight w:val="none"/>
                    </w:rPr>
                  </w:pPr>
                  <w:r>
                    <w:rPr>
                      <w:rFonts w:hint="eastAsia"/>
                      <w:color w:val="auto"/>
                      <w:highlight w:val="none"/>
                    </w:rPr>
                    <w:t>13600</w:t>
                  </w:r>
                </w:p>
                <w:p>
                  <w:pPr>
                    <w:jc w:val="center"/>
                    <w:rPr>
                      <w:color w:val="auto"/>
                      <w:highlight w:val="none"/>
                    </w:rPr>
                  </w:pPr>
                  <w:r>
                    <w:rPr>
                      <w:rFonts w:hint="eastAsia"/>
                      <w:color w:val="auto"/>
                      <w:highlight w:val="none"/>
                    </w:rPr>
                    <w:t>SE</w:t>
                  </w:r>
                </w:p>
              </w:tc>
              <w:tc>
                <w:tcPr>
                  <w:tcW w:w="868" w:type="pct"/>
                  <w:vAlign w:val="center"/>
                </w:tcPr>
                <w:p>
                  <w:pPr>
                    <w:adjustRightInd w:val="0"/>
                    <w:jc w:val="center"/>
                    <w:rPr>
                      <w:color w:val="auto"/>
                      <w:szCs w:val="21"/>
                      <w:highlight w:val="none"/>
                    </w:rPr>
                  </w:pPr>
                  <w:r>
                    <w:rPr>
                      <w:rFonts w:hint="eastAsia"/>
                      <w:color w:val="auto"/>
                      <w:szCs w:val="21"/>
                      <w:highlight w:val="none"/>
                    </w:rPr>
                    <w:t>/</w:t>
                  </w:r>
                </w:p>
              </w:tc>
              <w:tc>
                <w:tcPr>
                  <w:tcW w:w="835" w:type="pct"/>
                  <w:vAlign w:val="center"/>
                </w:tcPr>
                <w:p>
                  <w:pPr>
                    <w:adjustRightInd w:val="0"/>
                    <w:jc w:val="center"/>
                    <w:rPr>
                      <w:color w:val="auto"/>
                      <w:szCs w:val="21"/>
                      <w:highlight w:val="none"/>
                    </w:rPr>
                  </w:pPr>
                  <w:r>
                    <w:rPr>
                      <w:rFonts w:hint="eastAsia"/>
                      <w:color w:val="auto"/>
                      <w:szCs w:val="21"/>
                      <w:highlight w:val="none"/>
                    </w:rPr>
                    <w:t>苏州工业园区内，吴淞江水体范围</w:t>
                  </w:r>
                </w:p>
              </w:tc>
              <w:tc>
                <w:tcPr>
                  <w:tcW w:w="553" w:type="pct"/>
                  <w:vAlign w:val="center"/>
                </w:tcPr>
                <w:p>
                  <w:pPr>
                    <w:adjustRightInd w:val="0"/>
                    <w:jc w:val="center"/>
                    <w:rPr>
                      <w:color w:val="auto"/>
                      <w:szCs w:val="21"/>
                      <w:highlight w:val="none"/>
                    </w:rPr>
                  </w:pPr>
                  <w:r>
                    <w:rPr>
                      <w:rFonts w:hint="eastAsia"/>
                      <w:color w:val="auto"/>
                      <w:szCs w:val="21"/>
                      <w:highlight w:val="none"/>
                    </w:rPr>
                    <w:t>/</w:t>
                  </w:r>
                </w:p>
              </w:tc>
              <w:tc>
                <w:tcPr>
                  <w:tcW w:w="485" w:type="pct"/>
                  <w:vAlign w:val="center"/>
                </w:tcPr>
                <w:p>
                  <w:pPr>
                    <w:jc w:val="center"/>
                    <w:rPr>
                      <w:color w:val="auto"/>
                      <w:szCs w:val="21"/>
                      <w:highlight w:val="none"/>
                    </w:rPr>
                  </w:pPr>
                  <w:r>
                    <w:rPr>
                      <w:rFonts w:hint="eastAsia"/>
                      <w:color w:val="auto"/>
                      <w:szCs w:val="21"/>
                      <w:highlight w:val="none"/>
                    </w:rPr>
                    <w:t>79.4807</w:t>
                  </w:r>
                </w:p>
              </w:tc>
              <w:tc>
                <w:tcPr>
                  <w:tcW w:w="451" w:type="pct"/>
                  <w:vAlign w:val="center"/>
                </w:tcPr>
                <w:p>
                  <w:pPr>
                    <w:adjustRightInd w:val="0"/>
                    <w:snapToGrid w:val="0"/>
                    <w:ind w:left="-105" w:leftChars="-50" w:right="-105" w:rightChars="-50"/>
                    <w:jc w:val="center"/>
                    <w:rPr>
                      <w:color w:val="auto"/>
                      <w:szCs w:val="21"/>
                      <w:highlight w:val="none"/>
                    </w:rPr>
                  </w:pPr>
                  <w:r>
                    <w:rPr>
                      <w:rFonts w:hint="eastAsia"/>
                      <w:color w:val="auto"/>
                      <w:szCs w:val="21"/>
                      <w:highlight w:val="none"/>
                    </w:rPr>
                    <w:t>79.4807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3" w:hRule="atLeast"/>
                <w:jc w:val="center"/>
              </w:trPr>
              <w:tc>
                <w:tcPr>
                  <w:tcW w:w="575" w:type="pct"/>
                  <w:vAlign w:val="center"/>
                </w:tcPr>
                <w:p>
                  <w:pPr>
                    <w:adjustRightInd w:val="0"/>
                    <w:jc w:val="center"/>
                    <w:rPr>
                      <w:color w:val="auto"/>
                      <w:szCs w:val="21"/>
                      <w:highlight w:val="none"/>
                    </w:rPr>
                  </w:pPr>
                  <w:r>
                    <w:rPr>
                      <w:rFonts w:hint="eastAsia"/>
                      <w:color w:val="auto"/>
                      <w:szCs w:val="21"/>
                      <w:highlight w:val="none"/>
                    </w:rPr>
                    <w:t>吴淞江清水通道维护区</w:t>
                  </w:r>
                </w:p>
              </w:tc>
              <w:tc>
                <w:tcPr>
                  <w:tcW w:w="630" w:type="pct"/>
                  <w:vAlign w:val="center"/>
                </w:tcPr>
                <w:p>
                  <w:pPr>
                    <w:jc w:val="center"/>
                    <w:rPr>
                      <w:color w:val="auto"/>
                      <w:szCs w:val="21"/>
                      <w:highlight w:val="none"/>
                    </w:rPr>
                  </w:pPr>
                  <w:r>
                    <w:rPr>
                      <w:rFonts w:hint="eastAsia"/>
                      <w:color w:val="auto"/>
                      <w:szCs w:val="21"/>
                      <w:highlight w:val="none"/>
                    </w:rPr>
                    <w:t>清水通道维护区</w:t>
                  </w:r>
                </w:p>
              </w:tc>
              <w:tc>
                <w:tcPr>
                  <w:tcW w:w="600" w:type="pct"/>
                  <w:vAlign w:val="center"/>
                </w:tcPr>
                <w:p>
                  <w:pPr>
                    <w:pStyle w:val="31"/>
                    <w:widowControl/>
                    <w:spacing w:before="48" w:after="48"/>
                    <w:rPr>
                      <w:rFonts w:hAnsi="Times New Roman"/>
                      <w:color w:val="auto"/>
                      <w:highlight w:val="none"/>
                    </w:rPr>
                  </w:pPr>
                  <w:r>
                    <w:rPr>
                      <w:rFonts w:hint="eastAsia" w:hAnsi="Times New Roman"/>
                      <w:color w:val="auto"/>
                      <w:highlight w:val="none"/>
                    </w:rPr>
                    <w:t>14000</w:t>
                  </w:r>
                </w:p>
                <w:p>
                  <w:pPr>
                    <w:pStyle w:val="31"/>
                    <w:widowControl/>
                    <w:spacing w:before="48" w:after="48"/>
                    <w:rPr>
                      <w:rFonts w:hAnsi="Times New Roman"/>
                      <w:color w:val="auto"/>
                      <w:highlight w:val="none"/>
                    </w:rPr>
                  </w:pPr>
                  <w:r>
                    <w:rPr>
                      <w:rFonts w:hint="eastAsia" w:hAnsi="Times New Roman"/>
                      <w:color w:val="auto"/>
                      <w:highlight w:val="none"/>
                    </w:rPr>
                    <w:t>SE</w:t>
                  </w:r>
                </w:p>
              </w:tc>
              <w:tc>
                <w:tcPr>
                  <w:tcW w:w="868" w:type="pct"/>
                  <w:vAlign w:val="center"/>
                </w:tcPr>
                <w:p>
                  <w:pPr>
                    <w:adjustRightInd w:val="0"/>
                    <w:jc w:val="center"/>
                    <w:rPr>
                      <w:color w:val="auto"/>
                      <w:szCs w:val="21"/>
                      <w:highlight w:val="none"/>
                    </w:rPr>
                  </w:pPr>
                  <w:r>
                    <w:rPr>
                      <w:rFonts w:hint="eastAsia"/>
                      <w:color w:val="auto"/>
                      <w:szCs w:val="21"/>
                      <w:highlight w:val="none"/>
                    </w:rPr>
                    <w:t>/</w:t>
                  </w:r>
                </w:p>
              </w:tc>
              <w:tc>
                <w:tcPr>
                  <w:tcW w:w="835" w:type="pct"/>
                  <w:vAlign w:val="center"/>
                </w:tcPr>
                <w:p>
                  <w:pPr>
                    <w:adjustRightInd w:val="0"/>
                    <w:jc w:val="center"/>
                    <w:rPr>
                      <w:color w:val="auto"/>
                      <w:szCs w:val="21"/>
                      <w:highlight w:val="none"/>
                    </w:rPr>
                  </w:pPr>
                  <w:r>
                    <w:rPr>
                      <w:rFonts w:hint="eastAsia"/>
                      <w:color w:val="auto"/>
                      <w:szCs w:val="21"/>
                      <w:highlight w:val="none"/>
                    </w:rPr>
                    <w:t>苏州工业园区内，吴淞江水体范围</w:t>
                  </w:r>
                </w:p>
              </w:tc>
              <w:tc>
                <w:tcPr>
                  <w:tcW w:w="553" w:type="pct"/>
                  <w:vAlign w:val="center"/>
                </w:tcPr>
                <w:p>
                  <w:pPr>
                    <w:adjustRightInd w:val="0"/>
                    <w:jc w:val="center"/>
                    <w:rPr>
                      <w:color w:val="auto"/>
                      <w:szCs w:val="21"/>
                      <w:highlight w:val="none"/>
                    </w:rPr>
                  </w:pPr>
                  <w:r>
                    <w:rPr>
                      <w:rFonts w:hint="eastAsia"/>
                      <w:color w:val="auto"/>
                      <w:szCs w:val="21"/>
                      <w:highlight w:val="none"/>
                    </w:rPr>
                    <w:t>/</w:t>
                  </w:r>
                </w:p>
              </w:tc>
              <w:tc>
                <w:tcPr>
                  <w:tcW w:w="485" w:type="pct"/>
                  <w:vAlign w:val="center"/>
                </w:tcPr>
                <w:p>
                  <w:pPr>
                    <w:jc w:val="center"/>
                    <w:rPr>
                      <w:color w:val="auto"/>
                      <w:kern w:val="0"/>
                      <w:szCs w:val="21"/>
                      <w:highlight w:val="none"/>
                    </w:rPr>
                  </w:pPr>
                  <w:r>
                    <w:rPr>
                      <w:rFonts w:hint="eastAsia"/>
                      <w:color w:val="auto"/>
                      <w:kern w:val="0"/>
                      <w:szCs w:val="21"/>
                      <w:highlight w:val="none"/>
                    </w:rPr>
                    <w:t>61.6630</w:t>
                  </w:r>
                </w:p>
              </w:tc>
              <w:tc>
                <w:tcPr>
                  <w:tcW w:w="451" w:type="pct"/>
                  <w:vAlign w:val="center"/>
                </w:tcPr>
                <w:p>
                  <w:pPr>
                    <w:adjustRightInd w:val="0"/>
                    <w:snapToGrid w:val="0"/>
                    <w:ind w:left="-105" w:leftChars="-50" w:right="-105" w:rightChars="-50"/>
                    <w:jc w:val="center"/>
                    <w:rPr>
                      <w:color w:val="auto"/>
                      <w:szCs w:val="21"/>
                      <w:highlight w:val="none"/>
                    </w:rPr>
                  </w:pPr>
                  <w:r>
                    <w:rPr>
                      <w:rFonts w:hint="eastAsia"/>
                      <w:color w:val="auto"/>
                      <w:kern w:val="0"/>
                      <w:szCs w:val="21"/>
                      <w:highlight w:val="none"/>
                    </w:rPr>
                    <w:t>61.6630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3" w:hRule="atLeast"/>
                <w:jc w:val="center"/>
              </w:trPr>
              <w:tc>
                <w:tcPr>
                  <w:tcW w:w="575" w:type="pct"/>
                  <w:vAlign w:val="center"/>
                </w:tcPr>
                <w:p>
                  <w:pPr>
                    <w:adjustRightInd w:val="0"/>
                    <w:jc w:val="center"/>
                    <w:rPr>
                      <w:color w:val="auto"/>
                      <w:szCs w:val="21"/>
                      <w:highlight w:val="none"/>
                    </w:rPr>
                  </w:pPr>
                  <w:r>
                    <w:rPr>
                      <w:color w:val="auto"/>
                      <w:szCs w:val="21"/>
                      <w:highlight w:val="none"/>
                    </w:rPr>
                    <w:t>阳澄湖苏州工业园区饮用水水源保护区</w:t>
                  </w:r>
                </w:p>
              </w:tc>
              <w:tc>
                <w:tcPr>
                  <w:tcW w:w="630" w:type="pct"/>
                  <w:vAlign w:val="center"/>
                </w:tcPr>
                <w:p>
                  <w:pPr>
                    <w:jc w:val="center"/>
                    <w:rPr>
                      <w:color w:val="auto"/>
                      <w:szCs w:val="21"/>
                      <w:highlight w:val="none"/>
                    </w:rPr>
                  </w:pPr>
                  <w:r>
                    <w:rPr>
                      <w:color w:val="auto"/>
                      <w:szCs w:val="21"/>
                      <w:highlight w:val="none"/>
                    </w:rPr>
                    <w:t>水源水质保护</w:t>
                  </w:r>
                </w:p>
              </w:tc>
              <w:tc>
                <w:tcPr>
                  <w:tcW w:w="600" w:type="pct"/>
                  <w:vAlign w:val="center"/>
                </w:tcPr>
                <w:p>
                  <w:pPr>
                    <w:jc w:val="center"/>
                    <w:rPr>
                      <w:color w:val="auto"/>
                      <w:highlight w:val="none"/>
                    </w:rPr>
                  </w:pPr>
                  <w:r>
                    <w:rPr>
                      <w:rFonts w:hint="eastAsia"/>
                      <w:color w:val="auto"/>
                      <w:highlight w:val="none"/>
                    </w:rPr>
                    <w:t>12500</w:t>
                  </w:r>
                </w:p>
                <w:p>
                  <w:pPr>
                    <w:jc w:val="center"/>
                    <w:rPr>
                      <w:color w:val="auto"/>
                      <w:highlight w:val="none"/>
                    </w:rPr>
                  </w:pPr>
                  <w:r>
                    <w:rPr>
                      <w:rFonts w:hint="eastAsia"/>
                      <w:color w:val="auto"/>
                      <w:highlight w:val="none"/>
                    </w:rPr>
                    <w:t>NE</w:t>
                  </w:r>
                </w:p>
              </w:tc>
              <w:tc>
                <w:tcPr>
                  <w:tcW w:w="868" w:type="pct"/>
                  <w:vAlign w:val="center"/>
                </w:tcPr>
                <w:p>
                  <w:pPr>
                    <w:adjustRightInd w:val="0"/>
                    <w:jc w:val="center"/>
                    <w:rPr>
                      <w:color w:val="auto"/>
                      <w:szCs w:val="21"/>
                      <w:highlight w:val="none"/>
                    </w:rPr>
                  </w:pPr>
                  <w:r>
                    <w:rPr>
                      <w:color w:val="auto"/>
                      <w:szCs w:val="21"/>
                      <w:highlight w:val="none"/>
                    </w:rPr>
                    <w:t>一级保护区：以园区阳澄湖水厂取水口（120°47′49″E，31°23′19″N）为中心，半径500米范围内的区域。二级保护区：一级保护区外，外延2000米的水域及相对应的本岸背水坡堤脚外100米之间的陆域。准保护区：二级保护区外外延1000米的陆域</w:t>
                  </w:r>
                </w:p>
              </w:tc>
              <w:tc>
                <w:tcPr>
                  <w:tcW w:w="835" w:type="pct"/>
                  <w:vAlign w:val="center"/>
                </w:tcPr>
                <w:p>
                  <w:pPr>
                    <w:adjustRightInd w:val="0"/>
                    <w:jc w:val="center"/>
                    <w:rPr>
                      <w:color w:val="auto"/>
                      <w:szCs w:val="21"/>
                      <w:highlight w:val="none"/>
                    </w:rPr>
                  </w:pPr>
                  <w:r>
                    <w:rPr>
                      <w:color w:val="auto"/>
                      <w:szCs w:val="21"/>
                      <w:highlight w:val="none"/>
                    </w:rPr>
                    <w:t>/</w:t>
                  </w:r>
                </w:p>
              </w:tc>
              <w:tc>
                <w:tcPr>
                  <w:tcW w:w="553" w:type="pct"/>
                  <w:vAlign w:val="center"/>
                </w:tcPr>
                <w:p>
                  <w:pPr>
                    <w:adjustRightInd w:val="0"/>
                    <w:jc w:val="center"/>
                    <w:rPr>
                      <w:color w:val="auto"/>
                      <w:szCs w:val="21"/>
                      <w:highlight w:val="none"/>
                    </w:rPr>
                  </w:pPr>
                  <w:r>
                    <w:rPr>
                      <w:color w:val="auto"/>
                      <w:szCs w:val="21"/>
                      <w:highlight w:val="none"/>
                    </w:rPr>
                    <w:t>28.31</w:t>
                  </w:r>
                </w:p>
              </w:tc>
              <w:tc>
                <w:tcPr>
                  <w:tcW w:w="485" w:type="pct"/>
                  <w:vAlign w:val="center"/>
                </w:tcPr>
                <w:p>
                  <w:pPr>
                    <w:jc w:val="center"/>
                    <w:rPr>
                      <w:color w:val="auto"/>
                      <w:szCs w:val="21"/>
                      <w:highlight w:val="none"/>
                    </w:rPr>
                  </w:pPr>
                  <w:r>
                    <w:rPr>
                      <w:color w:val="auto"/>
                      <w:kern w:val="0"/>
                      <w:szCs w:val="21"/>
                      <w:highlight w:val="none"/>
                    </w:rPr>
                    <w:t>/</w:t>
                  </w:r>
                </w:p>
              </w:tc>
              <w:tc>
                <w:tcPr>
                  <w:tcW w:w="451" w:type="pct"/>
                  <w:vAlign w:val="center"/>
                </w:tcPr>
                <w:p>
                  <w:pPr>
                    <w:adjustRightInd w:val="0"/>
                    <w:snapToGrid w:val="0"/>
                    <w:ind w:left="-105" w:leftChars="-50" w:right="-105" w:rightChars="-50"/>
                    <w:jc w:val="center"/>
                    <w:rPr>
                      <w:color w:val="auto"/>
                      <w:szCs w:val="21"/>
                      <w:highlight w:val="none"/>
                    </w:rPr>
                  </w:pPr>
                  <w:r>
                    <w:rPr>
                      <w:color w:val="auto"/>
                      <w:szCs w:val="21"/>
                      <w:highlight w:val="none"/>
                    </w:rPr>
                    <w:t>28.31</w:t>
                  </w:r>
                </w:p>
              </w:tc>
            </w:tr>
          </w:tbl>
          <w:p>
            <w:pPr>
              <w:spacing w:line="360" w:lineRule="auto"/>
              <w:ind w:firstLine="480" w:firstLineChars="200"/>
              <w:jc w:val="left"/>
              <w:rPr>
                <w:color w:val="auto"/>
                <w:sz w:val="24"/>
                <w:highlight w:val="none"/>
              </w:rPr>
            </w:pPr>
            <w:r>
              <w:rPr>
                <w:rFonts w:hint="eastAsia"/>
                <w:color w:val="auto"/>
                <w:kern w:val="0"/>
                <w:sz w:val="24"/>
                <w:highlight w:val="none"/>
              </w:rPr>
              <w:t>本项目为苏州工业园区市政建设管理中心建设扬东路工程项目，西起园区界外塘河，向东下穿苏嘉杭高速高架桥，东至扬帆路</w:t>
            </w:r>
            <w:r>
              <w:rPr>
                <w:color w:val="auto"/>
                <w:sz w:val="24"/>
                <w:highlight w:val="none"/>
              </w:rPr>
              <w:t>，</w:t>
            </w:r>
            <w:r>
              <w:rPr>
                <w:rFonts w:hint="eastAsia"/>
                <w:color w:val="auto"/>
                <w:sz w:val="24"/>
                <w:highlight w:val="none"/>
              </w:rPr>
              <w:t>不在《江苏省国家级生态保护红线规划》、 《江苏省生态空间管控区域规划》及《苏州工业园区2022年度生态空间管控区域调整方案》规定的生态管控区内，</w:t>
            </w:r>
            <w:r>
              <w:rPr>
                <w:color w:val="auto"/>
                <w:sz w:val="24"/>
                <w:highlight w:val="none"/>
              </w:rPr>
              <w:t>符合</w:t>
            </w:r>
            <w:r>
              <w:rPr>
                <w:rFonts w:hint="eastAsia"/>
                <w:color w:val="auto"/>
                <w:sz w:val="24"/>
                <w:highlight w:val="none"/>
              </w:rPr>
              <w:t>《江苏省国家级生态保护红线规划》、</w:t>
            </w:r>
            <w:r>
              <w:rPr>
                <w:color w:val="auto"/>
                <w:sz w:val="24"/>
                <w:highlight w:val="none"/>
              </w:rPr>
              <w:t>《江苏省生态空间管控区域规划》</w:t>
            </w:r>
            <w:r>
              <w:rPr>
                <w:rFonts w:hint="eastAsia"/>
                <w:color w:val="auto"/>
                <w:sz w:val="24"/>
                <w:highlight w:val="none"/>
              </w:rPr>
              <w:t>和《苏州工业园区2022年度生态空间管控区域调整方案》</w:t>
            </w:r>
            <w:r>
              <w:rPr>
                <w:color w:val="auto"/>
                <w:sz w:val="24"/>
                <w:highlight w:val="none"/>
              </w:rPr>
              <w:t>相关要求。</w:t>
            </w:r>
          </w:p>
          <w:p>
            <w:pPr>
              <w:autoSpaceDE w:val="0"/>
              <w:autoSpaceDN w:val="0"/>
              <w:adjustRightInd w:val="0"/>
              <w:snapToGrid w:val="0"/>
              <w:spacing w:line="360" w:lineRule="auto"/>
              <w:ind w:firstLine="482" w:firstLineChars="200"/>
              <w:rPr>
                <w:b/>
                <w:bCs/>
                <w:color w:val="auto"/>
                <w:sz w:val="24"/>
                <w:highlight w:val="none"/>
              </w:rPr>
            </w:pPr>
            <w:r>
              <w:rPr>
                <w:b/>
                <w:bCs/>
                <w:color w:val="auto"/>
                <w:sz w:val="24"/>
                <w:highlight w:val="none"/>
              </w:rPr>
              <w:t>②与环境质量底线的相符性分析</w:t>
            </w:r>
          </w:p>
          <w:p>
            <w:pPr>
              <w:autoSpaceDE w:val="0"/>
              <w:autoSpaceDN w:val="0"/>
              <w:adjustRightInd w:val="0"/>
              <w:snapToGrid w:val="0"/>
              <w:spacing w:line="360" w:lineRule="auto"/>
              <w:ind w:firstLine="480" w:firstLineChars="200"/>
              <w:rPr>
                <w:color w:val="auto"/>
                <w:sz w:val="24"/>
                <w:highlight w:val="none"/>
              </w:rPr>
            </w:pPr>
            <w:r>
              <w:rPr>
                <w:rFonts w:hint="eastAsia"/>
                <w:color w:val="auto"/>
                <w:sz w:val="24"/>
                <w:highlight w:val="none"/>
              </w:rPr>
              <w:t>根据《苏州市环境空气质量功能区划》，项目所在地区大气环境功能区划为二类区，环境空气质量执行《环境空气质量标准》（GB3095-2012）中的二级标准。</w:t>
            </w:r>
          </w:p>
          <w:p>
            <w:pPr>
              <w:autoSpaceDE w:val="0"/>
              <w:autoSpaceDN w:val="0"/>
              <w:adjustRightInd w:val="0"/>
              <w:snapToGrid w:val="0"/>
              <w:spacing w:line="360" w:lineRule="auto"/>
              <w:ind w:firstLine="480" w:firstLineChars="200"/>
              <w:rPr>
                <w:color w:val="auto"/>
                <w:sz w:val="24"/>
                <w:highlight w:val="none"/>
              </w:rPr>
            </w:pPr>
            <w:r>
              <w:rPr>
                <w:rFonts w:hint="eastAsia"/>
                <w:color w:val="auto"/>
                <w:sz w:val="24"/>
                <w:highlight w:val="none"/>
              </w:rPr>
              <w:t>根据《2022年工业园区生态环境状况公报》，PM</w:t>
            </w:r>
            <w:r>
              <w:rPr>
                <w:rFonts w:hint="eastAsia"/>
                <w:color w:val="auto"/>
                <w:sz w:val="24"/>
                <w:highlight w:val="none"/>
                <w:vertAlign w:val="subscript"/>
              </w:rPr>
              <w:t>2.5</w:t>
            </w:r>
            <w:r>
              <w:rPr>
                <w:rFonts w:hint="eastAsia"/>
                <w:color w:val="auto"/>
                <w:sz w:val="24"/>
                <w:highlight w:val="none"/>
              </w:rPr>
              <w:t>、PM</w:t>
            </w:r>
            <w:r>
              <w:rPr>
                <w:rFonts w:hint="eastAsia"/>
                <w:color w:val="auto"/>
                <w:sz w:val="24"/>
                <w:highlight w:val="none"/>
                <w:vertAlign w:val="subscript"/>
              </w:rPr>
              <w:t>10</w:t>
            </w:r>
            <w:r>
              <w:rPr>
                <w:rFonts w:hint="eastAsia"/>
                <w:color w:val="auto"/>
                <w:sz w:val="24"/>
                <w:highlight w:val="none"/>
              </w:rPr>
              <w:t>、NO</w:t>
            </w:r>
            <w:r>
              <w:rPr>
                <w:rFonts w:hint="eastAsia"/>
                <w:color w:val="auto"/>
                <w:sz w:val="24"/>
                <w:highlight w:val="none"/>
                <w:vertAlign w:val="subscript"/>
              </w:rPr>
              <w:t>2</w:t>
            </w:r>
            <w:r>
              <w:rPr>
                <w:rFonts w:hint="eastAsia"/>
                <w:color w:val="auto"/>
                <w:sz w:val="24"/>
                <w:highlight w:val="none"/>
              </w:rPr>
              <w:t>、SO</w:t>
            </w:r>
            <w:r>
              <w:rPr>
                <w:rFonts w:hint="eastAsia"/>
                <w:color w:val="auto"/>
                <w:sz w:val="24"/>
                <w:highlight w:val="none"/>
                <w:vertAlign w:val="subscript"/>
              </w:rPr>
              <w:t>2</w:t>
            </w:r>
            <w:r>
              <w:rPr>
                <w:rFonts w:hint="eastAsia"/>
                <w:color w:val="auto"/>
                <w:sz w:val="24"/>
                <w:highlight w:val="none"/>
              </w:rPr>
              <w:t>、CO达标，O</w:t>
            </w:r>
            <w:r>
              <w:rPr>
                <w:rFonts w:hint="eastAsia"/>
                <w:color w:val="auto"/>
                <w:sz w:val="24"/>
                <w:highlight w:val="none"/>
                <w:vertAlign w:val="subscript"/>
              </w:rPr>
              <w:t>3</w:t>
            </w:r>
            <w:r>
              <w:rPr>
                <w:rFonts w:hint="eastAsia"/>
                <w:color w:val="auto"/>
                <w:sz w:val="24"/>
                <w:highlight w:val="none"/>
              </w:rPr>
              <w:t>超标，为不达标区。</w:t>
            </w:r>
          </w:p>
          <w:p>
            <w:pPr>
              <w:autoSpaceDE w:val="0"/>
              <w:autoSpaceDN w:val="0"/>
              <w:adjustRightInd w:val="0"/>
              <w:snapToGrid w:val="0"/>
              <w:spacing w:line="360" w:lineRule="auto"/>
              <w:ind w:firstLine="480" w:firstLineChars="200"/>
              <w:rPr>
                <w:color w:val="auto"/>
                <w:sz w:val="24"/>
                <w:highlight w:val="none"/>
              </w:rPr>
            </w:pPr>
            <w:r>
              <w:rPr>
                <w:rFonts w:hint="eastAsia"/>
                <w:color w:val="auto"/>
                <w:sz w:val="24"/>
                <w:highlight w:val="none"/>
              </w:rPr>
              <w:t>根据《苏州市空气质量改善达标规划（2019-2024）》，通过调整能源结构，控制煤炭消费总量；调整产业结构，减少污染物排放；推进工业领域全行业、全要素达标排放；加强交通行业大气污染物防治；严格控制扬尘污染；加强服务业和生活污染治理；推进农业污染防治；加强重污染天气应对等措施，到2020年确保空气质量优良天数比率达到75%，力争到2024年，全市PM</w:t>
            </w:r>
            <w:r>
              <w:rPr>
                <w:rFonts w:hint="eastAsia"/>
                <w:color w:val="auto"/>
                <w:sz w:val="24"/>
                <w:highlight w:val="none"/>
                <w:vertAlign w:val="subscript"/>
              </w:rPr>
              <w:t>2.5</w:t>
            </w:r>
            <w:r>
              <w:rPr>
                <w:rFonts w:hint="eastAsia"/>
                <w:color w:val="auto"/>
                <w:sz w:val="24"/>
                <w:highlight w:val="none"/>
              </w:rPr>
              <w:t>浓度达到35</w:t>
            </w:r>
            <w:r>
              <w:rPr>
                <w:color w:val="auto"/>
                <w:sz w:val="24"/>
                <w:highlight w:val="none"/>
              </w:rPr>
              <w:t>μg</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左右，O</w:t>
            </w:r>
            <w:r>
              <w:rPr>
                <w:rFonts w:hint="eastAsia"/>
                <w:color w:val="auto"/>
                <w:sz w:val="24"/>
                <w:highlight w:val="none"/>
                <w:vertAlign w:val="subscript"/>
              </w:rPr>
              <w:t>3</w:t>
            </w:r>
            <w:r>
              <w:rPr>
                <w:rFonts w:hint="eastAsia"/>
                <w:color w:val="auto"/>
                <w:sz w:val="24"/>
                <w:highlight w:val="none"/>
              </w:rPr>
              <w:t>浓度达到拐点，除O</w:t>
            </w:r>
            <w:r>
              <w:rPr>
                <w:rFonts w:hint="eastAsia"/>
                <w:color w:val="auto"/>
                <w:sz w:val="24"/>
                <w:highlight w:val="none"/>
                <w:vertAlign w:val="subscript"/>
              </w:rPr>
              <w:t>3</w:t>
            </w:r>
            <w:r>
              <w:rPr>
                <w:rFonts w:hint="eastAsia"/>
                <w:color w:val="auto"/>
                <w:sz w:val="24"/>
                <w:highlight w:val="none"/>
              </w:rPr>
              <w:t>以外的主要大气污染物浓度达到国家二级标准要求，空气质量优良天数比率达到80%。</w:t>
            </w:r>
          </w:p>
          <w:p>
            <w:pPr>
              <w:autoSpaceDE w:val="0"/>
              <w:autoSpaceDN w:val="0"/>
              <w:adjustRightInd w:val="0"/>
              <w:snapToGrid w:val="0"/>
              <w:spacing w:line="360" w:lineRule="auto"/>
              <w:ind w:firstLine="480" w:firstLineChars="200"/>
              <w:rPr>
                <w:color w:val="auto"/>
                <w:sz w:val="24"/>
                <w:highlight w:val="none"/>
              </w:rPr>
            </w:pPr>
            <w:r>
              <w:rPr>
                <w:color w:val="auto"/>
                <w:sz w:val="24"/>
                <w:highlight w:val="none"/>
              </w:rPr>
              <w:t>根据现状监测结果，</w:t>
            </w:r>
            <w:r>
              <w:rPr>
                <w:rFonts w:hint="eastAsia"/>
                <w:color w:val="auto"/>
                <w:sz w:val="24"/>
                <w:highlight w:val="none"/>
              </w:rPr>
              <w:t>项目附近水体</w:t>
            </w:r>
            <w:r>
              <w:rPr>
                <w:color w:val="auto"/>
                <w:sz w:val="24"/>
                <w:highlight w:val="none"/>
              </w:rPr>
              <w:t>地表水各项评价因子均满足《地表水环境质量标准》（GB3838-2002）</w:t>
            </w:r>
            <w:r>
              <w:rPr>
                <w:rFonts w:hint="eastAsia"/>
                <w:color w:val="auto"/>
                <w:sz w:val="24"/>
                <w:highlight w:val="none"/>
              </w:rPr>
              <w:t>中的</w:t>
            </w:r>
            <w:r>
              <w:rPr>
                <w:color w:val="auto"/>
                <w:sz w:val="24"/>
                <w:highlight w:val="none"/>
              </w:rPr>
              <w:t>Ⅳ类</w:t>
            </w:r>
            <w:r>
              <w:rPr>
                <w:rFonts w:hint="eastAsia"/>
                <w:color w:val="auto"/>
                <w:sz w:val="24"/>
                <w:highlight w:val="none"/>
              </w:rPr>
              <w:t>水</w:t>
            </w:r>
            <w:r>
              <w:rPr>
                <w:color w:val="auto"/>
                <w:sz w:val="24"/>
                <w:highlight w:val="none"/>
              </w:rPr>
              <w:t>标准；</w:t>
            </w:r>
          </w:p>
          <w:p>
            <w:pPr>
              <w:autoSpaceDE w:val="0"/>
              <w:autoSpaceDN w:val="0"/>
              <w:adjustRightInd w:val="0"/>
              <w:snapToGrid w:val="0"/>
              <w:spacing w:line="360" w:lineRule="auto"/>
              <w:ind w:firstLine="480" w:firstLineChars="200"/>
              <w:rPr>
                <w:color w:val="auto"/>
                <w:sz w:val="24"/>
                <w:highlight w:val="none"/>
              </w:rPr>
            </w:pPr>
            <w:r>
              <w:rPr>
                <w:color w:val="auto"/>
                <w:sz w:val="24"/>
                <w:highlight w:val="none"/>
              </w:rPr>
              <w:t>根据</w:t>
            </w:r>
            <w:r>
              <w:rPr>
                <w:rFonts w:hint="eastAsia"/>
                <w:color w:val="auto"/>
                <w:sz w:val="24"/>
                <w:highlight w:val="none"/>
              </w:rPr>
              <w:t>欧宜检测认证服务（苏州）有限公司</w:t>
            </w:r>
            <w:r>
              <w:rPr>
                <w:color w:val="auto"/>
                <w:sz w:val="24"/>
                <w:highlight w:val="none"/>
              </w:rPr>
              <w:t>现状监测结果，</w:t>
            </w:r>
            <w:r>
              <w:rPr>
                <w:rFonts w:hint="eastAsia"/>
                <w:color w:val="auto"/>
                <w:sz w:val="24"/>
                <w:highlight w:val="none"/>
              </w:rPr>
              <w:t>项目所在地声环境质量昼夜噪声达到《声环境质量标准》（GB3096-2008）相应的4a类标准。</w:t>
            </w:r>
          </w:p>
          <w:p>
            <w:pPr>
              <w:autoSpaceDE w:val="0"/>
              <w:autoSpaceDN w:val="0"/>
              <w:adjustRightInd w:val="0"/>
              <w:snapToGrid w:val="0"/>
              <w:spacing w:line="360" w:lineRule="auto"/>
              <w:ind w:firstLine="480" w:firstLineChars="200"/>
              <w:rPr>
                <w:color w:val="auto"/>
                <w:sz w:val="24"/>
                <w:highlight w:val="none"/>
              </w:rPr>
            </w:pPr>
            <w:r>
              <w:rPr>
                <w:color w:val="auto"/>
                <w:sz w:val="24"/>
                <w:highlight w:val="none"/>
              </w:rPr>
              <w:t>营运期产生少量的汽车尾气直接以无组织形式排放，对周围环境空气质量影响较小，不会改变区域环境空气质量现状；营运过程水环境影响来自路面、桥面径流，污染物浓度低，经雨水收集系统收集后排至市政雨水管网，对周边河流影响较小；交通噪声对周围的声环境有</w:t>
            </w:r>
            <w:r>
              <w:rPr>
                <w:rFonts w:hint="eastAsia"/>
                <w:color w:val="auto"/>
                <w:sz w:val="24"/>
                <w:highlight w:val="none"/>
              </w:rPr>
              <w:t>一定</w:t>
            </w:r>
            <w:r>
              <w:rPr>
                <w:color w:val="auto"/>
                <w:sz w:val="24"/>
                <w:highlight w:val="none"/>
              </w:rPr>
              <w:t>影响，但在采</w:t>
            </w:r>
            <w:r>
              <w:rPr>
                <w:rFonts w:hint="eastAsia"/>
                <w:color w:val="auto"/>
                <w:sz w:val="24"/>
                <w:highlight w:val="none"/>
              </w:rPr>
              <w:t>相应的</w:t>
            </w:r>
            <w:r>
              <w:rPr>
                <w:color w:val="auto"/>
                <w:sz w:val="24"/>
                <w:highlight w:val="none"/>
              </w:rPr>
              <w:t>措施后，不会改变周围环境的功能属性，项目的建设符合声环境功能区要求。</w:t>
            </w:r>
          </w:p>
          <w:p>
            <w:pPr>
              <w:autoSpaceDE w:val="0"/>
              <w:autoSpaceDN w:val="0"/>
              <w:adjustRightInd w:val="0"/>
              <w:snapToGrid w:val="0"/>
              <w:spacing w:line="360" w:lineRule="auto"/>
              <w:ind w:firstLine="480" w:firstLineChars="200"/>
              <w:rPr>
                <w:color w:val="auto"/>
                <w:sz w:val="24"/>
                <w:highlight w:val="none"/>
              </w:rPr>
            </w:pPr>
            <w:r>
              <w:rPr>
                <w:color w:val="auto"/>
                <w:sz w:val="24"/>
                <w:highlight w:val="none"/>
              </w:rPr>
              <w:t>因此，本项目的建设不会突破当地环境质量底线。</w:t>
            </w:r>
          </w:p>
          <w:p>
            <w:pPr>
              <w:autoSpaceDE w:val="0"/>
              <w:autoSpaceDN w:val="0"/>
              <w:adjustRightInd w:val="0"/>
              <w:snapToGrid w:val="0"/>
              <w:spacing w:line="360" w:lineRule="auto"/>
              <w:ind w:firstLine="482" w:firstLineChars="200"/>
              <w:rPr>
                <w:b/>
                <w:bCs/>
                <w:color w:val="auto"/>
                <w:sz w:val="24"/>
                <w:highlight w:val="none"/>
              </w:rPr>
            </w:pPr>
            <w:r>
              <w:rPr>
                <w:b/>
                <w:bCs/>
                <w:color w:val="auto"/>
                <w:sz w:val="24"/>
                <w:highlight w:val="none"/>
              </w:rPr>
              <w:t>③与资源利用上线的对照分析</w:t>
            </w:r>
          </w:p>
          <w:p>
            <w:pPr>
              <w:autoSpaceDE w:val="0"/>
              <w:autoSpaceDN w:val="0"/>
              <w:adjustRightInd w:val="0"/>
              <w:snapToGrid w:val="0"/>
              <w:spacing w:line="360" w:lineRule="auto"/>
              <w:ind w:firstLine="480" w:firstLineChars="200"/>
              <w:rPr>
                <w:color w:val="auto"/>
                <w:sz w:val="24"/>
                <w:highlight w:val="none"/>
              </w:rPr>
            </w:pPr>
            <w:r>
              <w:rPr>
                <w:rFonts w:hint="eastAsia"/>
                <w:color w:val="auto"/>
                <w:sz w:val="24"/>
                <w:highlight w:val="none"/>
              </w:rPr>
              <w:t>依据用地规划，扬东路西延项目两侧主要为</w:t>
            </w:r>
            <w:r>
              <w:rPr>
                <w:rFonts w:hint="eastAsia"/>
                <w:color w:val="auto"/>
                <w:sz w:val="24"/>
                <w:highlight w:val="none"/>
                <w:lang w:val="en-US" w:eastAsia="zh-CN"/>
              </w:rPr>
              <w:t>商业设施用地</w:t>
            </w:r>
            <w:r>
              <w:rPr>
                <w:rFonts w:hint="eastAsia"/>
                <w:color w:val="auto"/>
                <w:sz w:val="24"/>
                <w:highlight w:val="none"/>
              </w:rPr>
              <w:t>。临时用</w:t>
            </w:r>
            <w:r>
              <w:rPr>
                <w:color w:val="auto"/>
                <w:sz w:val="24"/>
                <w:highlight w:val="none"/>
              </w:rPr>
              <w:t>地主要是施工场地等临时工程的占地</w:t>
            </w:r>
            <w:r>
              <w:rPr>
                <w:rFonts w:hint="eastAsia"/>
                <w:color w:val="auto"/>
                <w:sz w:val="24"/>
                <w:highlight w:val="none"/>
              </w:rPr>
              <w:t>，施工过程受新桥方案、桥梁下穿通道、新建筑和新构筑方案影响需移栽一些树木，不破坏原有绿化，地形休整完成后在原点重新栽种。</w:t>
            </w:r>
          </w:p>
          <w:p>
            <w:pPr>
              <w:autoSpaceDE w:val="0"/>
              <w:autoSpaceDN w:val="0"/>
              <w:adjustRightInd w:val="0"/>
              <w:snapToGrid w:val="0"/>
              <w:spacing w:line="360" w:lineRule="auto"/>
              <w:ind w:firstLine="480" w:firstLineChars="200"/>
              <w:rPr>
                <w:color w:val="auto"/>
                <w:sz w:val="24"/>
                <w:highlight w:val="none"/>
              </w:rPr>
            </w:pPr>
            <w:r>
              <w:rPr>
                <w:color w:val="auto"/>
                <w:sz w:val="24"/>
                <w:highlight w:val="none"/>
              </w:rPr>
              <w:t>本项目为非生产型项目，施工过程中所用的资源主要为水、电和燃油等，工程沿线分布有自来水管网，沿线附近电网密布，可满足施工的要求；</w:t>
            </w:r>
            <w:r>
              <w:rPr>
                <w:rFonts w:hint="eastAsia"/>
                <w:color w:val="auto"/>
                <w:sz w:val="24"/>
                <w:highlight w:val="none"/>
              </w:rPr>
              <w:t>运营期消耗少量电能资源，相对区域资源利用总量较少</w:t>
            </w:r>
            <w:r>
              <w:rPr>
                <w:color w:val="auto"/>
                <w:sz w:val="24"/>
                <w:highlight w:val="none"/>
              </w:rPr>
              <w:t>。</w:t>
            </w:r>
          </w:p>
          <w:p>
            <w:pPr>
              <w:autoSpaceDE w:val="0"/>
              <w:autoSpaceDN w:val="0"/>
              <w:adjustRightInd w:val="0"/>
              <w:snapToGrid w:val="0"/>
              <w:spacing w:line="360" w:lineRule="auto"/>
              <w:ind w:firstLine="480" w:firstLineChars="200"/>
              <w:rPr>
                <w:color w:val="auto"/>
                <w:sz w:val="24"/>
                <w:highlight w:val="none"/>
              </w:rPr>
            </w:pPr>
            <w:r>
              <w:rPr>
                <w:color w:val="auto"/>
                <w:sz w:val="24"/>
                <w:highlight w:val="none"/>
              </w:rPr>
              <w:t>因此，本项目建设符合资源利用上线标准。</w:t>
            </w:r>
          </w:p>
          <w:p>
            <w:pPr>
              <w:autoSpaceDE w:val="0"/>
              <w:autoSpaceDN w:val="0"/>
              <w:adjustRightInd w:val="0"/>
              <w:snapToGrid w:val="0"/>
              <w:spacing w:line="360" w:lineRule="auto"/>
              <w:ind w:firstLine="482" w:firstLineChars="200"/>
              <w:rPr>
                <w:b/>
                <w:bCs/>
                <w:color w:val="auto"/>
                <w:sz w:val="24"/>
                <w:highlight w:val="none"/>
              </w:rPr>
            </w:pPr>
            <w:r>
              <w:rPr>
                <w:b/>
                <w:bCs/>
                <w:color w:val="auto"/>
                <w:sz w:val="24"/>
                <w:highlight w:val="none"/>
              </w:rPr>
              <w:t>④环境准入负面清单</w:t>
            </w:r>
          </w:p>
          <w:p>
            <w:pPr>
              <w:spacing w:line="360" w:lineRule="auto"/>
              <w:ind w:firstLine="480"/>
              <w:rPr>
                <w:color w:val="auto"/>
                <w:sz w:val="24"/>
                <w:highlight w:val="none"/>
              </w:rPr>
            </w:pPr>
            <w:r>
              <w:rPr>
                <w:rFonts w:hAnsi="宋体"/>
                <w:color w:val="auto"/>
                <w:sz w:val="24"/>
                <w:highlight w:val="none"/>
              </w:rPr>
              <w:t>根据苏州工业园区总体规划及其审查意见，园区制定严格的产业准入负面清单，禁止高污染、高耗能、高风险产业准入，禁止新建、改建、扩建化工、印染、造纸、电镀、危险化学品储存等项目，引进项目的生产工艺、设备、污染治理技术，以及单位产品能耗、物耗、污染物排放和资源利用率均需达到同行业国际先进水平。</w:t>
            </w:r>
            <w:r>
              <w:rPr>
                <w:rFonts w:hint="eastAsia" w:hAnsi="宋体"/>
                <w:color w:val="auto"/>
                <w:sz w:val="24"/>
                <w:highlight w:val="none"/>
              </w:rPr>
              <w:t>本</w:t>
            </w:r>
            <w:r>
              <w:rPr>
                <w:rFonts w:hAnsi="宋体"/>
                <w:color w:val="auto"/>
                <w:sz w:val="24"/>
                <w:highlight w:val="none"/>
              </w:rPr>
              <w:t>项目</w:t>
            </w:r>
            <w:r>
              <w:rPr>
                <w:rFonts w:hint="eastAsia" w:hAnsi="宋体"/>
                <w:color w:val="auto"/>
                <w:sz w:val="24"/>
                <w:highlight w:val="none"/>
              </w:rPr>
              <w:t>为</w:t>
            </w:r>
            <w:r>
              <w:rPr>
                <w:rFonts w:hAnsi="宋体"/>
                <w:color w:val="auto"/>
                <w:sz w:val="24"/>
                <w:highlight w:val="none"/>
              </w:rPr>
              <w:t>市政工程道路、桥梁</w:t>
            </w:r>
            <w:r>
              <w:rPr>
                <w:rFonts w:hint="eastAsia" w:hAnsi="宋体"/>
                <w:color w:val="auto"/>
                <w:sz w:val="24"/>
                <w:highlight w:val="none"/>
              </w:rPr>
              <w:t>建设</w:t>
            </w:r>
            <w:r>
              <w:rPr>
                <w:rFonts w:hAnsi="宋体"/>
                <w:color w:val="auto"/>
                <w:sz w:val="24"/>
                <w:highlight w:val="none"/>
              </w:rPr>
              <w:t>，不违背园区产业结构，与苏州工业园区总体规划审查意见相符。</w:t>
            </w:r>
          </w:p>
          <w:p>
            <w:pPr>
              <w:spacing w:line="360" w:lineRule="auto"/>
              <w:ind w:firstLine="480"/>
              <w:rPr>
                <w:color w:val="auto"/>
                <w:highlight w:val="none"/>
              </w:rPr>
            </w:pPr>
            <w:r>
              <w:rPr>
                <w:rFonts w:hAnsi="宋体"/>
                <w:color w:val="auto"/>
                <w:sz w:val="24"/>
                <w:highlight w:val="none"/>
              </w:rPr>
              <w:t>苏州工业园区打好污染防治攻坚战指挥部办公室印发了《苏州工业园区建设项目环境准入负面清单（</w:t>
            </w:r>
            <w:r>
              <w:rPr>
                <w:color w:val="auto"/>
                <w:sz w:val="24"/>
                <w:highlight w:val="none"/>
              </w:rPr>
              <w:t>2021</w:t>
            </w:r>
            <w:r>
              <w:rPr>
                <w:rFonts w:hAnsi="宋体"/>
                <w:color w:val="auto"/>
                <w:sz w:val="24"/>
                <w:highlight w:val="none"/>
              </w:rPr>
              <w:t>版）》，本项目不在其负面清单范围内，详见表</w:t>
            </w:r>
            <w:r>
              <w:rPr>
                <w:color w:val="auto"/>
                <w:sz w:val="24"/>
                <w:highlight w:val="none"/>
              </w:rPr>
              <w:t>1-2</w:t>
            </w:r>
            <w:r>
              <w:rPr>
                <w:rFonts w:hAnsi="宋体"/>
                <w:color w:val="auto"/>
                <w:sz w:val="24"/>
                <w:highlight w:val="none"/>
              </w:rPr>
              <w:t>。</w:t>
            </w:r>
            <w:r>
              <w:rPr>
                <w:color w:val="auto"/>
                <w:highlight w:val="none"/>
              </w:rPr>
              <w:t xml:space="preserve"> </w:t>
            </w:r>
          </w:p>
          <w:p>
            <w:pPr>
              <w:pStyle w:val="25"/>
              <w:spacing w:beforeLines="0" w:line="400" w:lineRule="exact"/>
              <w:ind w:firstLine="0" w:firstLineChars="0"/>
              <w:jc w:val="center"/>
              <w:rPr>
                <w:b/>
                <w:color w:val="auto"/>
                <w:highlight w:val="none"/>
              </w:rPr>
            </w:pPr>
            <w:r>
              <w:rPr>
                <w:rFonts w:hAnsi="宋体"/>
                <w:b/>
                <w:color w:val="auto"/>
                <w:highlight w:val="none"/>
              </w:rPr>
              <w:t>表</w:t>
            </w:r>
            <w:r>
              <w:rPr>
                <w:b/>
                <w:color w:val="auto"/>
                <w:highlight w:val="none"/>
              </w:rPr>
              <w:t>1-2</w:t>
            </w:r>
            <w:r>
              <w:rPr>
                <w:rFonts w:hint="eastAsia"/>
                <w:b/>
                <w:color w:val="auto"/>
                <w:highlight w:val="none"/>
              </w:rPr>
              <w:t xml:space="preserve"> </w:t>
            </w:r>
            <w:r>
              <w:rPr>
                <w:rFonts w:hAnsi="宋体"/>
                <w:b/>
                <w:color w:val="auto"/>
                <w:highlight w:val="none"/>
              </w:rPr>
              <w:t>苏州工业园区建设项目环境准入负面清单（</w:t>
            </w:r>
            <w:r>
              <w:rPr>
                <w:b/>
                <w:color w:val="auto"/>
                <w:highlight w:val="none"/>
              </w:rPr>
              <w:t>2021</w:t>
            </w:r>
            <w:r>
              <w:rPr>
                <w:rFonts w:hAnsi="宋体"/>
                <w:b/>
                <w:color w:val="auto"/>
                <w:highlight w:val="none"/>
              </w:rPr>
              <w:t>版）</w:t>
            </w:r>
          </w:p>
          <w:tbl>
            <w:tblPr>
              <w:tblStyle w:val="18"/>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9"/>
              <w:gridCol w:w="4396"/>
              <w:gridCol w:w="26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Align w:val="center"/>
                </w:tcPr>
                <w:p>
                  <w:pPr>
                    <w:autoSpaceDE w:val="0"/>
                    <w:spacing w:line="280" w:lineRule="exact"/>
                    <w:jc w:val="center"/>
                    <w:rPr>
                      <w:b/>
                      <w:bCs/>
                      <w:color w:val="auto"/>
                      <w:highlight w:val="none"/>
                    </w:rPr>
                  </w:pPr>
                  <w:r>
                    <w:rPr>
                      <w:rFonts w:hAnsi="宋体"/>
                      <w:b/>
                      <w:bCs/>
                      <w:color w:val="auto"/>
                      <w:highlight w:val="none"/>
                    </w:rPr>
                    <w:t>序号</w:t>
                  </w:r>
                </w:p>
              </w:tc>
              <w:tc>
                <w:tcPr>
                  <w:tcW w:w="2873" w:type="pct"/>
                  <w:vAlign w:val="center"/>
                </w:tcPr>
                <w:p>
                  <w:pPr>
                    <w:autoSpaceDE w:val="0"/>
                    <w:spacing w:line="280" w:lineRule="exact"/>
                    <w:jc w:val="center"/>
                    <w:rPr>
                      <w:b/>
                      <w:bCs/>
                      <w:color w:val="auto"/>
                      <w:highlight w:val="none"/>
                    </w:rPr>
                  </w:pPr>
                  <w:r>
                    <w:rPr>
                      <w:rFonts w:hAnsi="宋体"/>
                      <w:b/>
                      <w:bCs/>
                      <w:color w:val="auto"/>
                      <w:highlight w:val="none"/>
                    </w:rPr>
                    <w:t>内容</w:t>
                  </w:r>
                </w:p>
              </w:tc>
              <w:tc>
                <w:tcPr>
                  <w:tcW w:w="1739" w:type="pct"/>
                  <w:vAlign w:val="center"/>
                </w:tcPr>
                <w:p>
                  <w:pPr>
                    <w:autoSpaceDE w:val="0"/>
                    <w:spacing w:line="280" w:lineRule="exact"/>
                    <w:jc w:val="center"/>
                    <w:rPr>
                      <w:b/>
                      <w:bCs/>
                      <w:color w:val="auto"/>
                      <w:highlight w:val="none"/>
                    </w:rPr>
                  </w:pPr>
                  <w:r>
                    <w:rPr>
                      <w:rFonts w:hAnsi="宋体"/>
                      <w:b/>
                      <w:bCs/>
                      <w:color w:val="auto"/>
                      <w:highlight w:val="none"/>
                    </w:rPr>
                    <w:t>本项目情况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Align w:val="center"/>
                </w:tcPr>
                <w:p>
                  <w:pPr>
                    <w:autoSpaceDE w:val="0"/>
                    <w:spacing w:line="280" w:lineRule="exact"/>
                    <w:jc w:val="center"/>
                    <w:rPr>
                      <w:bCs/>
                      <w:color w:val="auto"/>
                      <w:highlight w:val="none"/>
                    </w:rPr>
                  </w:pPr>
                  <w:r>
                    <w:rPr>
                      <w:bCs/>
                      <w:color w:val="auto"/>
                      <w:highlight w:val="none"/>
                    </w:rPr>
                    <w:t>1</w:t>
                  </w:r>
                </w:p>
              </w:tc>
              <w:tc>
                <w:tcPr>
                  <w:tcW w:w="2873" w:type="pct"/>
                  <w:vAlign w:val="center"/>
                </w:tcPr>
                <w:p>
                  <w:pPr>
                    <w:autoSpaceDE w:val="0"/>
                    <w:spacing w:line="280" w:lineRule="exact"/>
                    <w:jc w:val="center"/>
                    <w:rPr>
                      <w:bCs/>
                      <w:color w:val="auto"/>
                      <w:highlight w:val="none"/>
                    </w:rPr>
                  </w:pPr>
                  <w:r>
                    <w:rPr>
                      <w:rFonts w:hAnsi="宋体"/>
                      <w:bCs/>
                      <w:color w:val="auto"/>
                      <w:highlight w:val="none"/>
                    </w:rPr>
                    <w:t>在生态保护红线范围内，禁止建设不符合《省政府关于</w:t>
                  </w:r>
                  <w:r>
                    <w:rPr>
                      <w:rFonts w:hint="eastAsia" w:hAnsi="宋体"/>
                      <w:bCs/>
                      <w:color w:val="auto"/>
                      <w:highlight w:val="none"/>
                    </w:rPr>
                    <w:t>印发</w:t>
                  </w:r>
                  <w:r>
                    <w:rPr>
                      <w:rFonts w:hAnsi="宋体"/>
                      <w:bCs/>
                      <w:color w:val="auto"/>
                      <w:highlight w:val="none"/>
                    </w:rPr>
                    <w:t>江苏省国家级生态保护红线规划的通知》（苏政发[2018]74号）文件要求的建设项目。</w:t>
                  </w:r>
                </w:p>
              </w:tc>
              <w:tc>
                <w:tcPr>
                  <w:tcW w:w="1739" w:type="pct"/>
                  <w:vAlign w:val="center"/>
                </w:tcPr>
                <w:p>
                  <w:pPr>
                    <w:autoSpaceDE w:val="0"/>
                    <w:spacing w:line="280" w:lineRule="exact"/>
                    <w:jc w:val="center"/>
                    <w:rPr>
                      <w:bCs/>
                      <w:color w:val="auto"/>
                      <w:highlight w:val="none"/>
                    </w:rPr>
                  </w:pPr>
                  <w:r>
                    <w:rPr>
                      <w:rFonts w:hAnsi="宋体"/>
                      <w:bCs/>
                      <w:color w:val="auto"/>
                      <w:highlight w:val="none"/>
                    </w:rPr>
                    <w:t>相符，项目距离最近的阳澄湖苏州工业园区饮用水水源保护区准保护区</w:t>
                  </w:r>
                  <w:r>
                    <w:rPr>
                      <w:rFonts w:hint="eastAsia"/>
                      <w:bCs/>
                      <w:color w:val="auto"/>
                      <w:highlight w:val="none"/>
                    </w:rPr>
                    <w:t>12.5</w:t>
                  </w:r>
                  <w:r>
                    <w:rPr>
                      <w:bCs/>
                      <w:color w:val="auto"/>
                      <w:highlight w:val="none"/>
                    </w:rPr>
                    <w:t>km</w:t>
                  </w:r>
                  <w:r>
                    <w:rPr>
                      <w:rFonts w:hAnsi="宋体"/>
                      <w:bCs/>
                      <w:color w:val="auto"/>
                      <w:highlight w:val="none"/>
                    </w:rPr>
                    <w:t>，不在其饮用水源保护区内。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Align w:val="center"/>
                </w:tcPr>
                <w:p>
                  <w:pPr>
                    <w:autoSpaceDE w:val="0"/>
                    <w:spacing w:line="280" w:lineRule="exact"/>
                    <w:jc w:val="center"/>
                    <w:rPr>
                      <w:bCs/>
                      <w:color w:val="auto"/>
                      <w:highlight w:val="none"/>
                    </w:rPr>
                  </w:pPr>
                  <w:r>
                    <w:rPr>
                      <w:bCs/>
                      <w:color w:val="auto"/>
                      <w:highlight w:val="none"/>
                    </w:rPr>
                    <w:t>2</w:t>
                  </w:r>
                </w:p>
              </w:tc>
              <w:tc>
                <w:tcPr>
                  <w:tcW w:w="2873" w:type="pct"/>
                  <w:vAlign w:val="center"/>
                </w:tcPr>
                <w:p>
                  <w:pPr>
                    <w:autoSpaceDE w:val="0"/>
                    <w:spacing w:line="280" w:lineRule="exact"/>
                    <w:jc w:val="center"/>
                    <w:rPr>
                      <w:bCs/>
                      <w:color w:val="auto"/>
                      <w:highlight w:val="none"/>
                    </w:rPr>
                  </w:pPr>
                  <w:r>
                    <w:rPr>
                      <w:rFonts w:hAnsi="宋体"/>
                      <w:bCs/>
                      <w:color w:val="auto"/>
                      <w:highlight w:val="none"/>
                    </w:rPr>
                    <w:t>在生态空间管控区域范围内，严格执行《省政府关于印发江苏省生态空间管控区域规划的通知》（苏政发</w:t>
                  </w:r>
                  <w:r>
                    <w:rPr>
                      <w:bCs/>
                      <w:color w:val="auto"/>
                      <w:highlight w:val="none"/>
                    </w:rPr>
                    <w:t>[2020]1</w:t>
                  </w:r>
                  <w:r>
                    <w:rPr>
                      <w:rFonts w:hAnsi="宋体"/>
                      <w:bCs/>
                      <w:color w:val="auto"/>
                      <w:highlight w:val="none"/>
                    </w:rPr>
                    <w:t>号）、《省政府办公厅关于印发江苏省生态空间管控区域调整管理办法的通知》（苏政办发</w:t>
                  </w:r>
                  <w:r>
                    <w:rPr>
                      <w:bCs/>
                      <w:color w:val="auto"/>
                      <w:highlight w:val="none"/>
                    </w:rPr>
                    <w:t>[2021]3</w:t>
                  </w:r>
                  <w:r>
                    <w:rPr>
                      <w:rFonts w:hAnsi="宋体"/>
                      <w:bCs/>
                      <w:color w:val="auto"/>
                      <w:highlight w:val="none"/>
                    </w:rPr>
                    <w:t>号）、《省政府办公厅关于印发江苏省生态空间管控区域监督管理办法的通知》（苏政办发</w:t>
                  </w:r>
                  <w:r>
                    <w:rPr>
                      <w:bCs/>
                      <w:color w:val="auto"/>
                      <w:highlight w:val="none"/>
                    </w:rPr>
                    <w:t>[2021]20</w:t>
                  </w:r>
                  <w:r>
                    <w:rPr>
                      <w:rFonts w:hAnsi="宋体"/>
                      <w:bCs/>
                      <w:color w:val="auto"/>
                      <w:highlight w:val="none"/>
                    </w:rPr>
                    <w:t>号）等文件要求，项目环评审批前，需通过项目属地功能区合规性论证。</w:t>
                  </w:r>
                </w:p>
              </w:tc>
              <w:tc>
                <w:tcPr>
                  <w:tcW w:w="1739" w:type="pct"/>
                  <w:vAlign w:val="center"/>
                </w:tcPr>
                <w:p>
                  <w:pPr>
                    <w:autoSpaceDE w:val="0"/>
                    <w:spacing w:line="280" w:lineRule="exact"/>
                    <w:jc w:val="center"/>
                    <w:rPr>
                      <w:color w:val="auto"/>
                      <w:highlight w:val="none"/>
                    </w:rPr>
                  </w:pPr>
                  <w:r>
                    <w:rPr>
                      <w:color w:val="auto"/>
                      <w:highlight w:val="none"/>
                    </w:rPr>
                    <w:t>相符，</w:t>
                  </w:r>
                  <w:r>
                    <w:rPr>
                      <w:rFonts w:hAnsi="宋体"/>
                      <w:bCs/>
                      <w:color w:val="auto"/>
                      <w:highlight w:val="none"/>
                    </w:rPr>
                    <w:t>项目距离最近的阳澄湖</w:t>
                  </w:r>
                  <w:r>
                    <w:rPr>
                      <w:rFonts w:hint="eastAsia" w:hAnsi="宋体"/>
                      <w:bCs/>
                      <w:color w:val="auto"/>
                      <w:highlight w:val="none"/>
                    </w:rPr>
                    <w:t>（</w:t>
                  </w:r>
                  <w:r>
                    <w:rPr>
                      <w:rFonts w:hAnsi="宋体"/>
                      <w:bCs/>
                      <w:color w:val="auto"/>
                      <w:highlight w:val="none"/>
                    </w:rPr>
                    <w:t>苏州工业园区</w:t>
                  </w:r>
                  <w:r>
                    <w:rPr>
                      <w:rFonts w:hint="eastAsia" w:hAnsi="宋体"/>
                      <w:bCs/>
                      <w:color w:val="auto"/>
                      <w:highlight w:val="none"/>
                    </w:rPr>
                    <w:t>）重要湿地</w:t>
                  </w:r>
                  <w:r>
                    <w:rPr>
                      <w:rFonts w:hint="eastAsia"/>
                      <w:bCs/>
                      <w:color w:val="auto"/>
                      <w:highlight w:val="none"/>
                    </w:rPr>
                    <w:t>350</w:t>
                  </w:r>
                  <w:r>
                    <w:rPr>
                      <w:bCs/>
                      <w:color w:val="auto"/>
                      <w:highlight w:val="none"/>
                    </w:rPr>
                    <w:t>m</w:t>
                  </w:r>
                  <w:r>
                    <w:rPr>
                      <w:rFonts w:hint="eastAsia" w:hAnsi="宋体"/>
                      <w:bCs/>
                      <w:color w:val="auto"/>
                      <w:highlight w:val="none"/>
                    </w:rPr>
                    <w:t>，本项目建设不涉及生态空间管控区域。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Align w:val="center"/>
                </w:tcPr>
                <w:p>
                  <w:pPr>
                    <w:autoSpaceDE w:val="0"/>
                    <w:spacing w:line="280" w:lineRule="exact"/>
                    <w:jc w:val="center"/>
                    <w:rPr>
                      <w:bCs/>
                      <w:color w:val="auto"/>
                      <w:highlight w:val="none"/>
                    </w:rPr>
                  </w:pPr>
                  <w:r>
                    <w:rPr>
                      <w:bCs/>
                      <w:color w:val="auto"/>
                      <w:highlight w:val="none"/>
                    </w:rPr>
                    <w:t>3</w:t>
                  </w:r>
                </w:p>
              </w:tc>
              <w:tc>
                <w:tcPr>
                  <w:tcW w:w="2873" w:type="pct"/>
                  <w:vAlign w:val="center"/>
                </w:tcPr>
                <w:p>
                  <w:pPr>
                    <w:autoSpaceDE w:val="0"/>
                    <w:spacing w:line="280" w:lineRule="exact"/>
                    <w:jc w:val="center"/>
                    <w:rPr>
                      <w:bCs/>
                      <w:color w:val="auto"/>
                      <w:highlight w:val="none"/>
                    </w:rPr>
                  </w:pPr>
                  <w:r>
                    <w:rPr>
                      <w:rFonts w:hAnsi="宋体"/>
                      <w:bCs/>
                      <w:color w:val="auto"/>
                      <w:highlight w:val="none"/>
                    </w:rPr>
                    <w:t>严格执行《关于加强高耗能、高排放建设项目生态环境源头防控的指导意见》（环环评</w:t>
                  </w:r>
                  <w:r>
                    <w:rPr>
                      <w:bCs/>
                      <w:color w:val="auto"/>
                      <w:highlight w:val="none"/>
                    </w:rPr>
                    <w:t>[2021]45</w:t>
                  </w:r>
                  <w:r>
                    <w:rPr>
                      <w:rFonts w:hAnsi="宋体"/>
                      <w:bCs/>
                      <w:color w:val="auto"/>
                      <w:highlight w:val="none"/>
                    </w:rPr>
                    <w:t>号）等文件要求，项目环评审批前，需通过节能审查，并取得行业主管部门同意。</w:t>
                  </w:r>
                </w:p>
              </w:tc>
              <w:tc>
                <w:tcPr>
                  <w:tcW w:w="1739" w:type="pct"/>
                  <w:vAlign w:val="center"/>
                </w:tcPr>
                <w:p>
                  <w:pPr>
                    <w:autoSpaceDE w:val="0"/>
                    <w:spacing w:line="280" w:lineRule="exact"/>
                    <w:jc w:val="center"/>
                    <w:rPr>
                      <w:bCs/>
                      <w:color w:val="auto"/>
                      <w:highlight w:val="none"/>
                    </w:rPr>
                  </w:pPr>
                  <w:r>
                    <w:rPr>
                      <w:rFonts w:hAnsi="宋体"/>
                      <w:bCs/>
                      <w:color w:val="auto"/>
                      <w:highlight w:val="none"/>
                    </w:rPr>
                    <w:t>相符，本项目为市政工程道路建设，不属于高耗能、高排放建设项目。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5" w:type="pct"/>
                  <w:vAlign w:val="center"/>
                </w:tcPr>
                <w:p>
                  <w:pPr>
                    <w:autoSpaceDE w:val="0"/>
                    <w:spacing w:line="280" w:lineRule="exact"/>
                    <w:jc w:val="center"/>
                    <w:rPr>
                      <w:bCs/>
                      <w:color w:val="auto"/>
                      <w:highlight w:val="none"/>
                    </w:rPr>
                  </w:pPr>
                  <w:r>
                    <w:rPr>
                      <w:bCs/>
                      <w:color w:val="auto"/>
                      <w:highlight w:val="none"/>
                    </w:rPr>
                    <w:t>4</w:t>
                  </w:r>
                </w:p>
              </w:tc>
              <w:tc>
                <w:tcPr>
                  <w:tcW w:w="2873" w:type="pct"/>
                  <w:vAlign w:val="center"/>
                </w:tcPr>
                <w:p>
                  <w:pPr>
                    <w:autoSpaceDE w:val="0"/>
                    <w:spacing w:line="280" w:lineRule="exact"/>
                    <w:jc w:val="center"/>
                    <w:rPr>
                      <w:bCs/>
                      <w:color w:val="auto"/>
                      <w:highlight w:val="none"/>
                    </w:rPr>
                  </w:pPr>
                  <w:r>
                    <w:rPr>
                      <w:rFonts w:hAnsi="宋体"/>
                      <w:bCs/>
                      <w:color w:val="auto"/>
                      <w:highlight w:val="none"/>
                    </w:rPr>
                    <w:t>严格执行《江苏省重点行业挥发性有机物清洁原料替代工作方案》（苏大气办</w:t>
                  </w:r>
                  <w:r>
                    <w:rPr>
                      <w:bCs/>
                      <w:color w:val="auto"/>
                      <w:highlight w:val="none"/>
                    </w:rPr>
                    <w:t>[2021]2</w:t>
                  </w:r>
                  <w:r>
                    <w:rPr>
                      <w:rFonts w:hAnsi="宋体"/>
                      <w:bCs/>
                      <w:color w:val="auto"/>
                      <w:highlight w:val="none"/>
                    </w:rPr>
                    <w:t>号）等文件要求，严格控制生产和使用高</w:t>
                  </w:r>
                  <w:r>
                    <w:rPr>
                      <w:bCs/>
                      <w:color w:val="auto"/>
                      <w:highlight w:val="none"/>
                    </w:rPr>
                    <w:t>VOCs</w:t>
                  </w:r>
                  <w:r>
                    <w:rPr>
                      <w:rFonts w:hAnsi="宋体"/>
                      <w:bCs/>
                      <w:color w:val="auto"/>
                      <w:highlight w:val="none"/>
                    </w:rPr>
                    <w:t>含量的涂料、油墨、胶粘剂等项目建设。</w:t>
                  </w:r>
                </w:p>
              </w:tc>
              <w:tc>
                <w:tcPr>
                  <w:tcW w:w="1739" w:type="pct"/>
                  <w:vAlign w:val="center"/>
                </w:tcPr>
                <w:p>
                  <w:pPr>
                    <w:autoSpaceDE w:val="0"/>
                    <w:spacing w:line="280" w:lineRule="exact"/>
                    <w:jc w:val="center"/>
                    <w:rPr>
                      <w:bCs/>
                      <w:color w:val="auto"/>
                      <w:highlight w:val="none"/>
                    </w:rPr>
                  </w:pPr>
                  <w:r>
                    <w:rPr>
                      <w:rFonts w:hint="eastAsia" w:hAnsi="宋体"/>
                      <w:bCs/>
                      <w:color w:val="auto"/>
                      <w:highlight w:val="none"/>
                    </w:rPr>
                    <w:t>本项目不涉及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Align w:val="center"/>
                </w:tcPr>
                <w:p>
                  <w:pPr>
                    <w:autoSpaceDE w:val="0"/>
                    <w:spacing w:line="280" w:lineRule="exact"/>
                    <w:jc w:val="center"/>
                    <w:rPr>
                      <w:bCs/>
                      <w:color w:val="auto"/>
                      <w:highlight w:val="none"/>
                    </w:rPr>
                  </w:pPr>
                  <w:r>
                    <w:rPr>
                      <w:bCs/>
                      <w:color w:val="auto"/>
                      <w:highlight w:val="none"/>
                    </w:rPr>
                    <w:t>5</w:t>
                  </w:r>
                </w:p>
              </w:tc>
              <w:tc>
                <w:tcPr>
                  <w:tcW w:w="2873" w:type="pct"/>
                  <w:vAlign w:val="center"/>
                </w:tcPr>
                <w:p>
                  <w:pPr>
                    <w:autoSpaceDE w:val="0"/>
                    <w:spacing w:line="280" w:lineRule="exact"/>
                    <w:jc w:val="center"/>
                    <w:rPr>
                      <w:bCs/>
                      <w:color w:val="auto"/>
                      <w:highlight w:val="none"/>
                    </w:rPr>
                  </w:pPr>
                  <w:r>
                    <w:rPr>
                      <w:rFonts w:hAnsi="宋体"/>
                      <w:bCs/>
                      <w:color w:val="auto"/>
                      <w:highlight w:val="none"/>
                    </w:rPr>
                    <w:t>禁止新建、扩建化工项目，对现有项目进行技术改造的，需严格执行《省政府关于加强全省化工园区化工集中区规范化管理的通知》（苏政发</w:t>
                  </w:r>
                  <w:r>
                    <w:rPr>
                      <w:bCs/>
                      <w:color w:val="auto"/>
                      <w:highlight w:val="none"/>
                    </w:rPr>
                    <w:t>[2020]94</w:t>
                  </w:r>
                  <w:r>
                    <w:rPr>
                      <w:rFonts w:hAnsi="宋体"/>
                      <w:bCs/>
                      <w:color w:val="auto"/>
                      <w:highlight w:val="none"/>
                    </w:rPr>
                    <w:t>号）、《关于加强全省化工园区化工集中区外化工生产企业规范化管理的通知》（苏化治</w:t>
                  </w:r>
                  <w:r>
                    <w:rPr>
                      <w:bCs/>
                      <w:color w:val="auto"/>
                      <w:highlight w:val="none"/>
                    </w:rPr>
                    <w:t>[2021]4</w:t>
                  </w:r>
                  <w:r>
                    <w:rPr>
                      <w:rFonts w:hAnsi="宋体"/>
                      <w:bCs/>
                      <w:color w:val="auto"/>
                      <w:highlight w:val="none"/>
                    </w:rPr>
                    <w:t>号）等文件要求。</w:t>
                  </w:r>
                </w:p>
              </w:tc>
              <w:tc>
                <w:tcPr>
                  <w:tcW w:w="1739" w:type="pct"/>
                  <w:vAlign w:val="center"/>
                </w:tcPr>
                <w:p>
                  <w:pPr>
                    <w:autoSpaceDE w:val="0"/>
                    <w:spacing w:line="280" w:lineRule="exact"/>
                    <w:jc w:val="center"/>
                    <w:rPr>
                      <w:bCs/>
                      <w:color w:val="auto"/>
                      <w:highlight w:val="none"/>
                    </w:rPr>
                  </w:pPr>
                  <w:r>
                    <w:rPr>
                      <w:rFonts w:hint="eastAsia" w:hAnsi="宋体"/>
                      <w:bCs/>
                      <w:color w:val="auto"/>
                      <w:highlight w:val="none"/>
                    </w:rPr>
                    <w:t>本项目不涉及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Align w:val="center"/>
                </w:tcPr>
                <w:p>
                  <w:pPr>
                    <w:autoSpaceDE w:val="0"/>
                    <w:spacing w:line="280" w:lineRule="exact"/>
                    <w:jc w:val="center"/>
                    <w:rPr>
                      <w:bCs/>
                      <w:color w:val="auto"/>
                      <w:highlight w:val="none"/>
                    </w:rPr>
                  </w:pPr>
                  <w:r>
                    <w:rPr>
                      <w:bCs/>
                      <w:color w:val="auto"/>
                      <w:highlight w:val="none"/>
                    </w:rPr>
                    <w:t>6</w:t>
                  </w:r>
                </w:p>
              </w:tc>
              <w:tc>
                <w:tcPr>
                  <w:tcW w:w="2873" w:type="pct"/>
                  <w:vAlign w:val="center"/>
                </w:tcPr>
                <w:p>
                  <w:pPr>
                    <w:autoSpaceDE w:val="0"/>
                    <w:spacing w:line="280" w:lineRule="exact"/>
                    <w:jc w:val="center"/>
                    <w:rPr>
                      <w:bCs/>
                      <w:color w:val="auto"/>
                      <w:highlight w:val="none"/>
                    </w:rPr>
                  </w:pPr>
                  <w:r>
                    <w:rPr>
                      <w:rFonts w:hAnsi="宋体"/>
                      <w:bCs/>
                      <w:color w:val="auto"/>
                      <w:highlight w:val="none"/>
                    </w:rPr>
                    <w:t>禁止新建含电镀（包括镀前处理、镀上金属层、镀后处理）、化学镀、化学转化膜、阳极氧化、蚀刻、钝化、化成等工艺的建设项目（列入太湖流域战略性新兴产业目录的项目除外），确需扩建的，企业需列入《苏州工业园区工业企业资源集约利用综合评价》</w:t>
                  </w:r>
                  <w:r>
                    <w:rPr>
                      <w:bCs/>
                      <w:color w:val="auto"/>
                      <w:highlight w:val="none"/>
                    </w:rPr>
                    <w:t>A</w:t>
                  </w:r>
                  <w:r>
                    <w:rPr>
                      <w:rFonts w:hAnsi="宋体"/>
                      <w:bCs/>
                      <w:color w:val="auto"/>
                      <w:highlight w:val="none"/>
                    </w:rPr>
                    <w:t>、</w:t>
                  </w:r>
                  <w:r>
                    <w:rPr>
                      <w:bCs/>
                      <w:color w:val="auto"/>
                      <w:highlight w:val="none"/>
                    </w:rPr>
                    <w:t>B</w:t>
                  </w:r>
                  <w:r>
                    <w:rPr>
                      <w:rFonts w:hAnsi="宋体"/>
                      <w:bCs/>
                      <w:color w:val="auto"/>
                      <w:highlight w:val="none"/>
                    </w:rPr>
                    <w:t>类企业。</w:t>
                  </w:r>
                </w:p>
              </w:tc>
              <w:tc>
                <w:tcPr>
                  <w:tcW w:w="1739" w:type="pct"/>
                  <w:vAlign w:val="center"/>
                </w:tcPr>
                <w:p>
                  <w:pPr>
                    <w:autoSpaceDE w:val="0"/>
                    <w:spacing w:line="280" w:lineRule="exact"/>
                    <w:jc w:val="center"/>
                    <w:rPr>
                      <w:bCs/>
                      <w:color w:val="auto"/>
                      <w:highlight w:val="none"/>
                    </w:rPr>
                  </w:pPr>
                  <w:r>
                    <w:rPr>
                      <w:rFonts w:hint="eastAsia" w:hAnsi="宋体"/>
                      <w:bCs/>
                      <w:color w:val="auto"/>
                      <w:highlight w:val="none"/>
                    </w:rPr>
                    <w:t>本项目不涉及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Align w:val="center"/>
                </w:tcPr>
                <w:p>
                  <w:pPr>
                    <w:autoSpaceDE w:val="0"/>
                    <w:spacing w:line="280" w:lineRule="exact"/>
                    <w:jc w:val="center"/>
                    <w:rPr>
                      <w:bCs/>
                      <w:color w:val="auto"/>
                      <w:highlight w:val="none"/>
                    </w:rPr>
                  </w:pPr>
                  <w:r>
                    <w:rPr>
                      <w:bCs/>
                      <w:color w:val="auto"/>
                      <w:highlight w:val="none"/>
                    </w:rPr>
                    <w:t>7</w:t>
                  </w:r>
                </w:p>
              </w:tc>
              <w:tc>
                <w:tcPr>
                  <w:tcW w:w="2873" w:type="pct"/>
                  <w:vAlign w:val="center"/>
                </w:tcPr>
                <w:p>
                  <w:pPr>
                    <w:autoSpaceDE w:val="0"/>
                    <w:spacing w:line="280" w:lineRule="exact"/>
                    <w:jc w:val="center"/>
                    <w:rPr>
                      <w:bCs/>
                      <w:color w:val="auto"/>
                      <w:highlight w:val="none"/>
                    </w:rPr>
                  </w:pPr>
                  <w:r>
                    <w:rPr>
                      <w:rFonts w:hAnsi="宋体"/>
                      <w:bCs/>
                      <w:color w:val="auto"/>
                      <w:highlight w:val="none"/>
                    </w:rPr>
                    <w:t>禁止新建、扩建钢铁、水泥、造纸、制革、平板玻璃、染料项目，以及含铸造、酿造、印染、水洗等工艺的建设项目。</w:t>
                  </w:r>
                </w:p>
              </w:tc>
              <w:tc>
                <w:tcPr>
                  <w:tcW w:w="1739" w:type="pct"/>
                  <w:vAlign w:val="center"/>
                </w:tcPr>
                <w:p>
                  <w:pPr>
                    <w:autoSpaceDE w:val="0"/>
                    <w:spacing w:line="280" w:lineRule="exact"/>
                    <w:jc w:val="center"/>
                    <w:rPr>
                      <w:bCs/>
                      <w:color w:val="auto"/>
                      <w:highlight w:val="none"/>
                    </w:rPr>
                  </w:pPr>
                  <w:r>
                    <w:rPr>
                      <w:rFonts w:hint="eastAsia" w:hAnsi="宋体"/>
                      <w:bCs/>
                      <w:color w:val="auto"/>
                      <w:highlight w:val="none"/>
                    </w:rPr>
                    <w:t>本项目不涉及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Align w:val="center"/>
                </w:tcPr>
                <w:p>
                  <w:pPr>
                    <w:autoSpaceDE w:val="0"/>
                    <w:spacing w:line="280" w:lineRule="exact"/>
                    <w:jc w:val="center"/>
                    <w:rPr>
                      <w:bCs/>
                      <w:color w:val="auto"/>
                      <w:highlight w:val="none"/>
                    </w:rPr>
                  </w:pPr>
                  <w:r>
                    <w:rPr>
                      <w:bCs/>
                      <w:color w:val="auto"/>
                      <w:highlight w:val="none"/>
                    </w:rPr>
                    <w:t>8</w:t>
                  </w:r>
                </w:p>
              </w:tc>
              <w:tc>
                <w:tcPr>
                  <w:tcW w:w="2873" w:type="pct"/>
                  <w:vAlign w:val="center"/>
                </w:tcPr>
                <w:p>
                  <w:pPr>
                    <w:autoSpaceDE w:val="0"/>
                    <w:spacing w:line="280" w:lineRule="exact"/>
                    <w:jc w:val="center"/>
                    <w:rPr>
                      <w:bCs/>
                      <w:color w:val="auto"/>
                      <w:highlight w:val="none"/>
                    </w:rPr>
                  </w:pPr>
                  <w:r>
                    <w:rPr>
                      <w:rFonts w:hAnsi="宋体"/>
                      <w:bCs/>
                      <w:color w:val="auto"/>
                      <w:highlight w:val="none"/>
                    </w:rPr>
                    <w:t>禁止新建含炼胶、混炼、塑炼、硫化等工艺的建设项目，确需扩建的，企业需列入《苏州工业园区工业企业资源集约利用综合评价》</w:t>
                  </w:r>
                  <w:r>
                    <w:rPr>
                      <w:bCs/>
                      <w:color w:val="auto"/>
                      <w:highlight w:val="none"/>
                    </w:rPr>
                    <w:t>A</w:t>
                  </w:r>
                  <w:r>
                    <w:rPr>
                      <w:rFonts w:hAnsi="宋体"/>
                      <w:bCs/>
                      <w:color w:val="auto"/>
                      <w:highlight w:val="none"/>
                    </w:rPr>
                    <w:t>、</w:t>
                  </w:r>
                  <w:r>
                    <w:rPr>
                      <w:bCs/>
                      <w:color w:val="auto"/>
                      <w:highlight w:val="none"/>
                    </w:rPr>
                    <w:t>B</w:t>
                  </w:r>
                  <w:r>
                    <w:rPr>
                      <w:rFonts w:hAnsi="宋体"/>
                      <w:bCs/>
                      <w:color w:val="auto"/>
                      <w:highlight w:val="none"/>
                    </w:rPr>
                    <w:t>类企业。</w:t>
                  </w:r>
                </w:p>
              </w:tc>
              <w:tc>
                <w:tcPr>
                  <w:tcW w:w="1739" w:type="pct"/>
                  <w:vAlign w:val="center"/>
                </w:tcPr>
                <w:p>
                  <w:pPr>
                    <w:autoSpaceDE w:val="0"/>
                    <w:spacing w:line="280" w:lineRule="exact"/>
                    <w:jc w:val="center"/>
                    <w:rPr>
                      <w:bCs/>
                      <w:color w:val="auto"/>
                      <w:highlight w:val="none"/>
                    </w:rPr>
                  </w:pPr>
                  <w:r>
                    <w:rPr>
                      <w:rFonts w:hint="eastAsia" w:hAnsi="宋体"/>
                      <w:bCs/>
                      <w:color w:val="auto"/>
                      <w:highlight w:val="none"/>
                    </w:rPr>
                    <w:t>本项目不涉及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Align w:val="center"/>
                </w:tcPr>
                <w:p>
                  <w:pPr>
                    <w:autoSpaceDE w:val="0"/>
                    <w:spacing w:line="280" w:lineRule="exact"/>
                    <w:jc w:val="center"/>
                    <w:rPr>
                      <w:bCs/>
                      <w:color w:val="auto"/>
                      <w:highlight w:val="none"/>
                    </w:rPr>
                  </w:pPr>
                  <w:r>
                    <w:rPr>
                      <w:bCs/>
                      <w:color w:val="auto"/>
                      <w:highlight w:val="none"/>
                    </w:rPr>
                    <w:t>9</w:t>
                  </w:r>
                </w:p>
              </w:tc>
              <w:tc>
                <w:tcPr>
                  <w:tcW w:w="2873" w:type="pct"/>
                  <w:vAlign w:val="center"/>
                </w:tcPr>
                <w:p>
                  <w:pPr>
                    <w:autoSpaceDE w:val="0"/>
                    <w:spacing w:line="280" w:lineRule="exact"/>
                    <w:jc w:val="center"/>
                    <w:rPr>
                      <w:bCs/>
                      <w:color w:val="auto"/>
                      <w:highlight w:val="none"/>
                    </w:rPr>
                  </w:pPr>
                  <w:r>
                    <w:rPr>
                      <w:rFonts w:hAnsi="宋体"/>
                      <w:bCs/>
                      <w:color w:val="auto"/>
                      <w:highlight w:val="none"/>
                    </w:rPr>
                    <w:t>禁止新建、扩建单纯采用以电泳、喷漆、喷粉等为主要工艺的表面处理加工项目（区域配套的</w:t>
                  </w:r>
                  <w:r>
                    <w:rPr>
                      <w:bCs/>
                      <w:color w:val="auto"/>
                      <w:highlight w:val="none"/>
                    </w:rPr>
                    <w:t>“绿岛”项目除外）。</w:t>
                  </w:r>
                </w:p>
              </w:tc>
              <w:tc>
                <w:tcPr>
                  <w:tcW w:w="1739" w:type="pct"/>
                  <w:vAlign w:val="center"/>
                </w:tcPr>
                <w:p>
                  <w:pPr>
                    <w:autoSpaceDE w:val="0"/>
                    <w:spacing w:line="280" w:lineRule="exact"/>
                    <w:jc w:val="center"/>
                    <w:rPr>
                      <w:bCs/>
                      <w:color w:val="auto"/>
                      <w:highlight w:val="none"/>
                    </w:rPr>
                  </w:pPr>
                  <w:r>
                    <w:rPr>
                      <w:rFonts w:hint="eastAsia" w:hAnsi="宋体"/>
                      <w:bCs/>
                      <w:color w:val="auto"/>
                      <w:highlight w:val="none"/>
                    </w:rPr>
                    <w:t>本项目不涉及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Align w:val="center"/>
                </w:tcPr>
                <w:p>
                  <w:pPr>
                    <w:autoSpaceDE w:val="0"/>
                    <w:spacing w:line="280" w:lineRule="exact"/>
                    <w:jc w:val="center"/>
                    <w:rPr>
                      <w:bCs/>
                      <w:color w:val="auto"/>
                      <w:highlight w:val="none"/>
                    </w:rPr>
                  </w:pPr>
                  <w:r>
                    <w:rPr>
                      <w:bCs/>
                      <w:color w:val="auto"/>
                      <w:highlight w:val="none"/>
                    </w:rPr>
                    <w:t>10</w:t>
                  </w:r>
                </w:p>
              </w:tc>
              <w:tc>
                <w:tcPr>
                  <w:tcW w:w="2873" w:type="pct"/>
                  <w:vAlign w:val="center"/>
                </w:tcPr>
                <w:p>
                  <w:pPr>
                    <w:autoSpaceDE w:val="0"/>
                    <w:spacing w:line="280" w:lineRule="exact"/>
                    <w:jc w:val="center"/>
                    <w:rPr>
                      <w:bCs/>
                      <w:color w:val="auto"/>
                      <w:highlight w:val="none"/>
                    </w:rPr>
                  </w:pPr>
                  <w:r>
                    <w:rPr>
                      <w:bCs/>
                      <w:color w:val="auto"/>
                      <w:highlight w:val="none"/>
                    </w:rPr>
                    <w:t>禁止建设以再生塑料为原料的生产性项目；禁止新建投资额2000万元以下的单纯采用以印刷为主要工艺的建设项目，以及单纯采用混合、共混、改性、聚合为主要工艺，通过挤出、注射、压制、压延、发泡等方法生产合成树脂或合成树脂制品的建设项目（包括采用上述工艺生产中间产品后进行喷涂、喷码、印刷或组装的项目）；对现有项目进行扩建和改建的，企业需列入《苏州工业园区工业企业资源集约利用综合评价》A、B类企业。</w:t>
                  </w:r>
                </w:p>
              </w:tc>
              <w:tc>
                <w:tcPr>
                  <w:tcW w:w="1739" w:type="pct"/>
                  <w:vAlign w:val="center"/>
                </w:tcPr>
                <w:p>
                  <w:pPr>
                    <w:autoSpaceDE w:val="0"/>
                    <w:spacing w:line="280" w:lineRule="exact"/>
                    <w:jc w:val="center"/>
                    <w:rPr>
                      <w:bCs/>
                      <w:color w:val="auto"/>
                      <w:highlight w:val="none"/>
                    </w:rPr>
                  </w:pPr>
                  <w:r>
                    <w:rPr>
                      <w:rFonts w:hint="eastAsia" w:hAnsi="宋体"/>
                      <w:bCs/>
                      <w:color w:val="auto"/>
                      <w:highlight w:val="none"/>
                    </w:rPr>
                    <w:t>本项目不涉及</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Align w:val="center"/>
                </w:tcPr>
                <w:p>
                  <w:pPr>
                    <w:autoSpaceDE w:val="0"/>
                    <w:spacing w:line="280" w:lineRule="exact"/>
                    <w:jc w:val="center"/>
                    <w:rPr>
                      <w:bCs/>
                      <w:color w:val="auto"/>
                      <w:highlight w:val="none"/>
                    </w:rPr>
                  </w:pPr>
                  <w:r>
                    <w:rPr>
                      <w:bCs/>
                      <w:color w:val="auto"/>
                      <w:highlight w:val="none"/>
                    </w:rPr>
                    <w:t>11</w:t>
                  </w:r>
                </w:p>
              </w:tc>
              <w:tc>
                <w:tcPr>
                  <w:tcW w:w="2873" w:type="pct"/>
                  <w:vAlign w:val="center"/>
                </w:tcPr>
                <w:p>
                  <w:pPr>
                    <w:autoSpaceDE w:val="0"/>
                    <w:spacing w:line="280" w:lineRule="exact"/>
                    <w:jc w:val="center"/>
                    <w:rPr>
                      <w:bCs/>
                      <w:color w:val="auto"/>
                      <w:highlight w:val="none"/>
                    </w:rPr>
                  </w:pPr>
                  <w:r>
                    <w:rPr>
                      <w:bCs/>
                      <w:color w:val="auto"/>
                      <w:highlight w:val="none"/>
                    </w:rPr>
                    <w:t>禁止采取填埋方式处置生活垃圾；严格控制危险废物利用及处置项目，以及一般工业固体废物、建筑施工废弃物等废气资源综合利用及处置项目建设。</w:t>
                  </w:r>
                </w:p>
              </w:tc>
              <w:tc>
                <w:tcPr>
                  <w:tcW w:w="1739" w:type="pct"/>
                  <w:vAlign w:val="center"/>
                </w:tcPr>
                <w:p>
                  <w:pPr>
                    <w:autoSpaceDE w:val="0"/>
                    <w:spacing w:line="280" w:lineRule="exact"/>
                    <w:jc w:val="center"/>
                    <w:rPr>
                      <w:bCs/>
                      <w:color w:val="auto"/>
                      <w:highlight w:val="none"/>
                    </w:rPr>
                  </w:pPr>
                  <w:r>
                    <w:rPr>
                      <w:bCs/>
                      <w:color w:val="auto"/>
                      <w:highlight w:val="none"/>
                    </w:rPr>
                    <w:t>相符，本项目为市政道路，不产生危废，施工期生活垃圾由环卫部门统一处理，弃方及渣土外运到专门的建筑渣土堆放点。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Align w:val="center"/>
                </w:tcPr>
                <w:p>
                  <w:pPr>
                    <w:autoSpaceDE w:val="0"/>
                    <w:spacing w:line="280" w:lineRule="exact"/>
                    <w:jc w:val="center"/>
                    <w:rPr>
                      <w:bCs/>
                      <w:color w:val="auto"/>
                      <w:highlight w:val="none"/>
                    </w:rPr>
                  </w:pPr>
                  <w:r>
                    <w:rPr>
                      <w:bCs/>
                      <w:color w:val="auto"/>
                      <w:highlight w:val="none"/>
                    </w:rPr>
                    <w:t>12</w:t>
                  </w:r>
                </w:p>
              </w:tc>
              <w:tc>
                <w:tcPr>
                  <w:tcW w:w="2873" w:type="pct"/>
                  <w:vAlign w:val="center"/>
                </w:tcPr>
                <w:p>
                  <w:pPr>
                    <w:autoSpaceDE w:val="0"/>
                    <w:spacing w:line="280" w:lineRule="exact"/>
                    <w:jc w:val="center"/>
                    <w:rPr>
                      <w:bCs/>
                      <w:color w:val="auto"/>
                      <w:highlight w:val="none"/>
                    </w:rPr>
                  </w:pPr>
                  <w:r>
                    <w:rPr>
                      <w:bCs/>
                      <w:color w:val="auto"/>
                      <w:highlight w:val="none"/>
                    </w:rPr>
                    <w:t>禁止建设其他不符合国家及地方产业政策、行业准入条件、相关规划要求的建设项目。</w:t>
                  </w:r>
                </w:p>
              </w:tc>
              <w:tc>
                <w:tcPr>
                  <w:tcW w:w="1739" w:type="pct"/>
                  <w:vAlign w:val="center"/>
                </w:tcPr>
                <w:p>
                  <w:pPr>
                    <w:autoSpaceDE w:val="0"/>
                    <w:spacing w:line="280" w:lineRule="exact"/>
                    <w:jc w:val="center"/>
                    <w:rPr>
                      <w:bCs/>
                      <w:color w:val="auto"/>
                      <w:highlight w:val="none"/>
                    </w:rPr>
                  </w:pPr>
                  <w:r>
                    <w:rPr>
                      <w:bCs/>
                      <w:color w:val="auto"/>
                      <w:highlight w:val="none"/>
                    </w:rPr>
                    <w:t>相符，本项目符合国家和</w:t>
                  </w:r>
                  <w:r>
                    <w:rPr>
                      <w:rFonts w:hint="eastAsia"/>
                      <w:bCs/>
                      <w:color w:val="auto"/>
                      <w:highlight w:val="none"/>
                    </w:rPr>
                    <w:t>苏州市</w:t>
                  </w:r>
                  <w:r>
                    <w:rPr>
                      <w:bCs/>
                      <w:color w:val="auto"/>
                      <w:highlight w:val="none"/>
                    </w:rPr>
                    <w:t>产业政策要求。</w:t>
                  </w:r>
                </w:p>
              </w:tc>
            </w:tr>
          </w:tbl>
          <w:p>
            <w:pPr>
              <w:autoSpaceDE w:val="0"/>
              <w:autoSpaceDN w:val="0"/>
              <w:adjustRightInd w:val="0"/>
              <w:snapToGrid w:val="0"/>
              <w:spacing w:line="360" w:lineRule="auto"/>
              <w:rPr>
                <w:color w:val="auto"/>
                <w:sz w:val="24"/>
                <w:highlight w:val="none"/>
              </w:rPr>
            </w:pPr>
            <w:r>
              <w:rPr>
                <w:color w:val="auto"/>
                <w:sz w:val="24"/>
                <w:highlight w:val="none"/>
              </w:rPr>
              <w:t>综上，本项目不在《苏州工业园区建设项目环境准入负面清单（2021版）》内，符合环境准入要求。</w:t>
            </w:r>
          </w:p>
          <w:p>
            <w:pPr>
              <w:widowControl/>
              <w:spacing w:line="360" w:lineRule="auto"/>
              <w:jc w:val="left"/>
              <w:rPr>
                <w:b/>
                <w:color w:val="auto"/>
                <w:sz w:val="24"/>
                <w:highlight w:val="none"/>
              </w:rPr>
            </w:pPr>
            <w:r>
              <w:rPr>
                <w:rFonts w:hint="eastAsia"/>
                <w:b/>
                <w:bCs/>
                <w:color w:val="auto"/>
                <w:sz w:val="24"/>
                <w:highlight w:val="none"/>
              </w:rPr>
              <w:t>3</w:t>
            </w:r>
            <w:r>
              <w:rPr>
                <w:b/>
                <w:bCs/>
                <w:color w:val="auto"/>
                <w:sz w:val="24"/>
                <w:highlight w:val="none"/>
              </w:rPr>
              <w:t>、</w:t>
            </w:r>
            <w:r>
              <w:rPr>
                <w:b/>
                <w:color w:val="auto"/>
                <w:sz w:val="24"/>
                <w:highlight w:val="none"/>
              </w:rPr>
              <w:t>与《阳澄湖水源水质保护条例》相符性</w:t>
            </w:r>
          </w:p>
          <w:p>
            <w:pPr>
              <w:autoSpaceDE w:val="0"/>
              <w:autoSpaceDN w:val="0"/>
              <w:adjustRightInd w:val="0"/>
              <w:snapToGrid w:val="0"/>
              <w:spacing w:line="360" w:lineRule="auto"/>
              <w:ind w:firstLine="480" w:firstLineChars="200"/>
              <w:jc w:val="left"/>
              <w:rPr>
                <w:color w:val="auto"/>
                <w:sz w:val="24"/>
                <w:highlight w:val="none"/>
              </w:rPr>
            </w:pPr>
            <w:r>
              <w:rPr>
                <w:color w:val="auto"/>
                <w:kern w:val="0"/>
                <w:sz w:val="24"/>
                <w:highlight w:val="none"/>
              </w:rPr>
              <w:t>根</w:t>
            </w:r>
            <w:r>
              <w:rPr>
                <w:color w:val="auto"/>
                <w:sz w:val="24"/>
                <w:highlight w:val="none"/>
              </w:rPr>
              <w:t xml:space="preserve">据《阳澄湖水源水质保护条例》（2018年11月修正）相关内容，与本项目有关内容整理如下： </w:t>
            </w:r>
          </w:p>
          <w:p>
            <w:pPr>
              <w:autoSpaceDE w:val="0"/>
              <w:autoSpaceDN w:val="0"/>
              <w:adjustRightInd w:val="0"/>
              <w:snapToGrid w:val="0"/>
              <w:spacing w:line="360" w:lineRule="auto"/>
              <w:ind w:firstLine="480" w:firstLineChars="200"/>
              <w:jc w:val="left"/>
              <w:rPr>
                <w:color w:val="auto"/>
                <w:sz w:val="24"/>
                <w:highlight w:val="none"/>
              </w:rPr>
            </w:pPr>
            <w:r>
              <w:rPr>
                <w:color w:val="auto"/>
                <w:sz w:val="24"/>
                <w:highlight w:val="none"/>
              </w:rPr>
              <w:t>一级保护区：以集中式供水取水口为中心、半径五百米范围内的水域和陆域；傀儡湖、野尤泾水域及其沿岸纵深一百米的水域和陆域。</w:t>
            </w:r>
          </w:p>
          <w:p>
            <w:pPr>
              <w:autoSpaceDE w:val="0"/>
              <w:autoSpaceDN w:val="0"/>
              <w:adjustRightInd w:val="0"/>
              <w:snapToGrid w:val="0"/>
              <w:spacing w:line="360" w:lineRule="auto"/>
              <w:ind w:firstLine="480" w:firstLineChars="200"/>
              <w:jc w:val="left"/>
              <w:rPr>
                <w:color w:val="auto"/>
                <w:sz w:val="24"/>
                <w:highlight w:val="none"/>
              </w:rPr>
            </w:pPr>
            <w:r>
              <w:rPr>
                <w:color w:val="auto"/>
                <w:sz w:val="24"/>
                <w:highlight w:val="none"/>
              </w:rPr>
              <w:t>二级保护区：阳澄湖、傀儡湖及沿岸纵深一千米的水域和陆域；北河泾入湖口上溯五千米及沿岸纵深五百米。上述范围内已划为一级保护区的除外。</w:t>
            </w:r>
          </w:p>
          <w:p>
            <w:pPr>
              <w:autoSpaceDE w:val="0"/>
              <w:autoSpaceDN w:val="0"/>
              <w:adjustRightInd w:val="0"/>
              <w:snapToGrid w:val="0"/>
              <w:spacing w:line="360" w:lineRule="auto"/>
              <w:ind w:firstLine="480" w:firstLineChars="200"/>
              <w:jc w:val="left"/>
              <w:rPr>
                <w:color w:val="auto"/>
                <w:sz w:val="24"/>
                <w:highlight w:val="none"/>
              </w:rPr>
            </w:pPr>
            <w:r>
              <w:rPr>
                <w:color w:val="auto"/>
                <w:sz w:val="24"/>
                <w:highlight w:val="none"/>
              </w:rPr>
              <w:t>三级保护区：西至元和塘，东至张家港河（自张家港河与元和塘交接处往张家港河至昆山西仓基河与娄江交接处止），南到娄江（自市区外城河齐门始，经娄门沿娄江至昆山西仓基河与娄江交接处止），上述水域及其所围绕的三角地区已划为一、二级保护区的除外；市区外城河齐门至糖坊湾桥向南纵深二千米以及自娄门沿娄江至昆山西仓基河止向南纵深五百米范围内的水域和陆域；张家港河（下浜至西湖泾桥段）、张家港河下浜处折向厍浜至沙家浜镇小河与尤泾塘所包围的水域和陆域。</w:t>
            </w:r>
          </w:p>
          <w:p>
            <w:pPr>
              <w:autoSpaceDE w:val="0"/>
              <w:autoSpaceDN w:val="0"/>
              <w:adjustRightInd w:val="0"/>
              <w:snapToGrid w:val="0"/>
              <w:spacing w:line="360" w:lineRule="auto"/>
              <w:ind w:firstLine="480" w:firstLineChars="200"/>
              <w:jc w:val="left"/>
              <w:rPr>
                <w:color w:val="auto"/>
                <w:sz w:val="24"/>
                <w:highlight w:val="none"/>
              </w:rPr>
            </w:pPr>
            <w:r>
              <w:rPr>
                <w:rFonts w:hint="eastAsia"/>
                <w:color w:val="auto"/>
                <w:kern w:val="0"/>
                <w:sz w:val="24"/>
                <w:highlight w:val="none"/>
              </w:rPr>
              <w:t>本项目为苏州工业园区市政建设管理中心建设扬东路工程项目，西起园区界外塘河</w:t>
            </w:r>
            <w:r>
              <w:rPr>
                <w:color w:val="auto"/>
                <w:sz w:val="24"/>
                <w:highlight w:val="none"/>
              </w:rPr>
              <w:t>（起点：</w:t>
            </w:r>
            <w:r>
              <w:rPr>
                <w:rFonts w:hint="eastAsia"/>
                <w:color w:val="auto"/>
                <w:sz w:val="24"/>
                <w:highlight w:val="none"/>
              </w:rPr>
              <w:t>经度:120°42′0.3564″，纬度:31°19′30.03″）</w:t>
            </w:r>
            <w:r>
              <w:rPr>
                <w:rFonts w:hint="eastAsia"/>
                <w:color w:val="auto"/>
                <w:kern w:val="0"/>
                <w:sz w:val="24"/>
                <w:highlight w:val="none"/>
              </w:rPr>
              <w:t>，向东下穿苏嘉杭高速高架桥，东至扬帆路（</w:t>
            </w:r>
            <w:r>
              <w:rPr>
                <w:color w:val="auto"/>
                <w:kern w:val="0"/>
                <w:sz w:val="24"/>
                <w:highlight w:val="none"/>
              </w:rPr>
              <w:t>终点：</w:t>
            </w:r>
            <w:r>
              <w:rPr>
                <w:rFonts w:hint="eastAsia"/>
                <w:color w:val="auto"/>
                <w:kern w:val="0"/>
                <w:sz w:val="24"/>
                <w:highlight w:val="none"/>
              </w:rPr>
              <w:t>经度:120°42′19.231″，纬度:31°19′13.34″）</w:t>
            </w:r>
            <w:r>
              <w:rPr>
                <w:color w:val="auto"/>
                <w:kern w:val="0"/>
                <w:sz w:val="24"/>
                <w:highlight w:val="none"/>
              </w:rPr>
              <w:t>所在位置处于阳澄湖水源水质保护区三级保护区范围</w:t>
            </w:r>
            <w:r>
              <w:rPr>
                <w:rFonts w:hint="eastAsia"/>
                <w:color w:val="auto"/>
                <w:kern w:val="0"/>
                <w:sz w:val="24"/>
                <w:highlight w:val="none"/>
              </w:rPr>
              <w:t>内</w:t>
            </w:r>
            <w:r>
              <w:rPr>
                <w:color w:val="auto"/>
                <w:kern w:val="0"/>
                <w:sz w:val="24"/>
                <w:highlight w:val="none"/>
              </w:rPr>
              <w:t>。本项目为市政道路工程项目，营运过程中路面、桥面径流经雨水收集系统收集后排至市政雨水管网，不直接排入阳澄湖，符合《苏州市阳澄湖水源水质保护条例》的各项要求。</w:t>
            </w:r>
          </w:p>
          <w:p>
            <w:pPr>
              <w:autoSpaceDE w:val="0"/>
              <w:autoSpaceDN w:val="0"/>
              <w:adjustRightInd w:val="0"/>
              <w:snapToGrid w:val="0"/>
              <w:spacing w:line="360" w:lineRule="auto"/>
              <w:rPr>
                <w:b/>
                <w:bCs/>
                <w:color w:val="auto"/>
                <w:sz w:val="24"/>
                <w:highlight w:val="none"/>
              </w:rPr>
            </w:pPr>
            <w:r>
              <w:rPr>
                <w:rFonts w:hint="eastAsia"/>
                <w:b/>
                <w:bCs/>
                <w:color w:val="auto"/>
                <w:sz w:val="24"/>
                <w:highlight w:val="none"/>
              </w:rPr>
              <w:t>4</w:t>
            </w:r>
            <w:r>
              <w:rPr>
                <w:b/>
                <w:bCs/>
                <w:color w:val="auto"/>
                <w:sz w:val="24"/>
                <w:highlight w:val="none"/>
              </w:rPr>
              <w:t>、与</w:t>
            </w:r>
            <w:r>
              <w:rPr>
                <w:rFonts w:hint="eastAsia"/>
                <w:b/>
                <w:bCs/>
                <w:color w:val="auto"/>
                <w:sz w:val="24"/>
                <w:highlight w:val="none"/>
              </w:rPr>
              <w:t>《太湖流域管理条例》、《江苏省太湖水污染防治条例》</w:t>
            </w:r>
            <w:r>
              <w:rPr>
                <w:b/>
                <w:bCs/>
                <w:color w:val="auto"/>
                <w:sz w:val="24"/>
                <w:highlight w:val="none"/>
              </w:rPr>
              <w:t>相符性</w:t>
            </w:r>
          </w:p>
          <w:p>
            <w:pPr>
              <w:autoSpaceDE w:val="0"/>
              <w:autoSpaceDN w:val="0"/>
              <w:adjustRightInd w:val="0"/>
              <w:snapToGrid w:val="0"/>
              <w:spacing w:line="360" w:lineRule="auto"/>
              <w:ind w:firstLine="480" w:firstLineChars="200"/>
              <w:rPr>
                <w:color w:val="auto"/>
                <w:sz w:val="24"/>
                <w:highlight w:val="none"/>
              </w:rPr>
            </w:pPr>
            <w:r>
              <w:rPr>
                <w:rFonts w:hint="eastAsia"/>
                <w:color w:val="auto"/>
                <w:sz w:val="24"/>
                <w:highlight w:val="none"/>
              </w:rPr>
              <w:t>《太湖流域管理条例》：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pPr>
              <w:autoSpaceDE w:val="0"/>
              <w:autoSpaceDN w:val="0"/>
              <w:adjustRightInd w:val="0"/>
              <w:snapToGrid w:val="0"/>
              <w:spacing w:line="360" w:lineRule="auto"/>
              <w:ind w:firstLine="480" w:firstLineChars="200"/>
              <w:rPr>
                <w:color w:val="auto"/>
                <w:sz w:val="24"/>
                <w:highlight w:val="none"/>
              </w:rPr>
            </w:pPr>
            <w:r>
              <w:rPr>
                <w:rFonts w:hint="eastAsia"/>
                <w:color w:val="auto"/>
                <w:sz w:val="24"/>
                <w:highlight w:val="none"/>
              </w:rPr>
              <w:t>（一）设置剧毒物质、危险化学品的贮存、输送设施和废物回收场、垃圾场；</w:t>
            </w:r>
          </w:p>
          <w:p>
            <w:pPr>
              <w:autoSpaceDE w:val="0"/>
              <w:autoSpaceDN w:val="0"/>
              <w:adjustRightInd w:val="0"/>
              <w:snapToGrid w:val="0"/>
              <w:spacing w:line="360" w:lineRule="auto"/>
              <w:ind w:firstLine="480" w:firstLineChars="200"/>
              <w:rPr>
                <w:color w:val="auto"/>
                <w:sz w:val="24"/>
                <w:highlight w:val="none"/>
              </w:rPr>
            </w:pPr>
            <w:r>
              <w:rPr>
                <w:rFonts w:hint="eastAsia"/>
                <w:color w:val="auto"/>
                <w:sz w:val="24"/>
                <w:highlight w:val="none"/>
              </w:rPr>
              <w:t>（二）设置水上餐饮经营设施</w:t>
            </w:r>
          </w:p>
          <w:p>
            <w:pPr>
              <w:autoSpaceDE w:val="0"/>
              <w:autoSpaceDN w:val="0"/>
              <w:adjustRightInd w:val="0"/>
              <w:snapToGrid w:val="0"/>
              <w:spacing w:line="360" w:lineRule="auto"/>
              <w:ind w:firstLine="480" w:firstLineChars="200"/>
              <w:rPr>
                <w:color w:val="auto"/>
                <w:sz w:val="24"/>
                <w:highlight w:val="none"/>
              </w:rPr>
            </w:pPr>
            <w:r>
              <w:rPr>
                <w:rFonts w:hint="eastAsia"/>
                <w:color w:val="auto"/>
                <w:sz w:val="24"/>
                <w:highlight w:val="none"/>
              </w:rPr>
              <w:t>（三）新建、扩建高尔夫球场；</w:t>
            </w:r>
          </w:p>
          <w:p>
            <w:pPr>
              <w:autoSpaceDE w:val="0"/>
              <w:autoSpaceDN w:val="0"/>
              <w:adjustRightInd w:val="0"/>
              <w:snapToGrid w:val="0"/>
              <w:spacing w:line="360" w:lineRule="auto"/>
              <w:ind w:firstLine="480" w:firstLineChars="200"/>
              <w:rPr>
                <w:color w:val="auto"/>
                <w:sz w:val="24"/>
                <w:highlight w:val="none"/>
              </w:rPr>
            </w:pPr>
            <w:r>
              <w:rPr>
                <w:rFonts w:hint="eastAsia"/>
                <w:color w:val="auto"/>
                <w:sz w:val="24"/>
                <w:highlight w:val="none"/>
              </w:rPr>
              <w:t>（四）新建、扩建畜禽养殖场；</w:t>
            </w:r>
          </w:p>
          <w:p>
            <w:pPr>
              <w:autoSpaceDE w:val="0"/>
              <w:autoSpaceDN w:val="0"/>
              <w:adjustRightInd w:val="0"/>
              <w:snapToGrid w:val="0"/>
              <w:spacing w:line="360" w:lineRule="auto"/>
              <w:ind w:firstLine="480" w:firstLineChars="200"/>
              <w:rPr>
                <w:color w:val="auto"/>
                <w:sz w:val="24"/>
                <w:highlight w:val="none"/>
              </w:rPr>
            </w:pPr>
            <w:r>
              <w:rPr>
                <w:rFonts w:hint="eastAsia"/>
                <w:color w:val="auto"/>
                <w:sz w:val="24"/>
                <w:highlight w:val="none"/>
              </w:rPr>
              <w:t>（五）新建、扩建向水体排放污染物的建设项目；</w:t>
            </w:r>
          </w:p>
          <w:p>
            <w:pPr>
              <w:autoSpaceDE w:val="0"/>
              <w:autoSpaceDN w:val="0"/>
              <w:adjustRightInd w:val="0"/>
              <w:snapToGrid w:val="0"/>
              <w:spacing w:line="360" w:lineRule="auto"/>
              <w:ind w:firstLine="480" w:firstLineChars="200"/>
              <w:rPr>
                <w:color w:val="auto"/>
                <w:sz w:val="24"/>
                <w:highlight w:val="none"/>
              </w:rPr>
            </w:pPr>
            <w:r>
              <w:rPr>
                <w:rFonts w:hint="eastAsia"/>
                <w:color w:val="auto"/>
                <w:sz w:val="24"/>
                <w:highlight w:val="none"/>
              </w:rPr>
              <w:t>（六）本条例第二十九条规定的行为。已经设置前款第一项、第二项规定设施的，当地县级人民政府应当责令拆除或者关闭。</w:t>
            </w:r>
          </w:p>
          <w:p>
            <w:pPr>
              <w:pStyle w:val="4"/>
              <w:spacing w:line="360" w:lineRule="auto"/>
              <w:ind w:firstLine="480"/>
              <w:rPr>
                <w:color w:val="auto"/>
                <w:sz w:val="24"/>
                <w:szCs w:val="24"/>
                <w:highlight w:val="none"/>
              </w:rPr>
            </w:pPr>
            <w:r>
              <w:rPr>
                <w:rFonts w:hint="eastAsia"/>
                <w:color w:val="auto"/>
                <w:sz w:val="24"/>
                <w:szCs w:val="24"/>
                <w:highlight w:val="none"/>
              </w:rPr>
              <w:t>本项目距太湖湖体21.5km，不涉及条例中禁止行为。因此不违背《条例》要求。</w:t>
            </w:r>
          </w:p>
          <w:p>
            <w:pPr>
              <w:pStyle w:val="4"/>
              <w:spacing w:line="360" w:lineRule="auto"/>
              <w:ind w:firstLine="480"/>
              <w:rPr>
                <w:color w:val="auto"/>
                <w:sz w:val="24"/>
                <w:szCs w:val="24"/>
                <w:highlight w:val="none"/>
              </w:rPr>
            </w:pPr>
            <w:r>
              <w:rPr>
                <w:color w:val="auto"/>
                <w:sz w:val="24"/>
                <w:szCs w:val="24"/>
                <w:highlight w:val="none"/>
              </w:rPr>
              <w:t>《江苏省太湖水污染防治条例》</w:t>
            </w:r>
            <w:r>
              <w:rPr>
                <w:rFonts w:hint="eastAsia"/>
                <w:color w:val="auto"/>
                <w:sz w:val="24"/>
                <w:szCs w:val="24"/>
                <w:highlight w:val="none"/>
              </w:rPr>
              <w:t>：</w:t>
            </w:r>
          </w:p>
          <w:p>
            <w:pPr>
              <w:pStyle w:val="4"/>
              <w:spacing w:line="360" w:lineRule="auto"/>
              <w:ind w:firstLine="480"/>
              <w:rPr>
                <w:color w:val="auto"/>
                <w:sz w:val="24"/>
                <w:szCs w:val="24"/>
                <w:highlight w:val="none"/>
              </w:rPr>
            </w:pPr>
            <w:r>
              <w:rPr>
                <w:color w:val="auto"/>
                <w:sz w:val="24"/>
                <w:szCs w:val="24"/>
                <w:highlight w:val="none"/>
              </w:rPr>
              <w:t>太湖流域实行分级保护，划分为三级保护区：太湖湖体、沿湖岸五公里区域、入湖河道上溯十公里以及沿岸两侧各一公里范围为一级保护区；主要入湖河道上溯十公里至五十公里以及沿岸两侧各一公里范围为二级保护区；其他地区为三级保护区。太湖流域一、二、三级保护区的具体范围，由省人民政府划定并公布。</w:t>
            </w:r>
          </w:p>
          <w:p>
            <w:pPr>
              <w:tabs>
                <w:tab w:val="left" w:pos="2160"/>
              </w:tabs>
              <w:spacing w:line="360" w:lineRule="auto"/>
              <w:ind w:firstLine="480" w:firstLineChars="200"/>
              <w:rPr>
                <w:color w:val="auto"/>
                <w:sz w:val="24"/>
                <w:highlight w:val="none"/>
              </w:rPr>
            </w:pPr>
            <w:r>
              <w:rPr>
                <w:rFonts w:hint="eastAsia"/>
                <w:color w:val="auto"/>
                <w:sz w:val="24"/>
                <w:highlight w:val="none"/>
              </w:rPr>
              <w:t>本项目距太湖湖体21.5km，位于</w:t>
            </w:r>
            <w:r>
              <w:rPr>
                <w:color w:val="auto"/>
                <w:sz w:val="24"/>
                <w:highlight w:val="none"/>
              </w:rPr>
              <w:t>太湖流域</w:t>
            </w:r>
            <w:r>
              <w:rPr>
                <w:rFonts w:hint="eastAsia"/>
                <w:color w:val="auto"/>
                <w:sz w:val="24"/>
                <w:highlight w:val="none"/>
              </w:rPr>
              <w:t>三级保护区。</w:t>
            </w:r>
          </w:p>
          <w:p>
            <w:pPr>
              <w:tabs>
                <w:tab w:val="left" w:pos="2160"/>
              </w:tabs>
              <w:spacing w:line="360" w:lineRule="auto"/>
              <w:ind w:firstLine="480" w:firstLineChars="200"/>
              <w:rPr>
                <w:color w:val="auto"/>
                <w:sz w:val="24"/>
                <w:highlight w:val="none"/>
              </w:rPr>
            </w:pPr>
            <w:r>
              <w:rPr>
                <w:color w:val="auto"/>
                <w:sz w:val="24"/>
                <w:highlight w:val="none"/>
              </w:rPr>
              <w:t>根据《江苏省太湖水污染防治条例》，第四十三条太湖流域一、二、三级保护区禁止下列行为：</w:t>
            </w:r>
          </w:p>
          <w:p>
            <w:pPr>
              <w:tabs>
                <w:tab w:val="left" w:pos="2160"/>
              </w:tabs>
              <w:spacing w:line="360" w:lineRule="auto"/>
              <w:ind w:firstLine="480" w:firstLineChars="200"/>
              <w:rPr>
                <w:color w:val="auto"/>
                <w:sz w:val="24"/>
                <w:highlight w:val="none"/>
              </w:rPr>
            </w:pPr>
            <w:r>
              <w:rPr>
                <w:color w:val="auto"/>
                <w:sz w:val="24"/>
                <w:highlight w:val="none"/>
              </w:rPr>
              <w:t>（一）新建、改建、扩建化学制浆造纸、制革、酿造、染料、印染、电镀以及其他排放含磷、氮等污染物的企业和项目，城镇污水集中处理等环境基础设施项目和第四十六条规定的情形除外；</w:t>
            </w:r>
          </w:p>
          <w:p>
            <w:pPr>
              <w:tabs>
                <w:tab w:val="left" w:pos="2160"/>
              </w:tabs>
              <w:spacing w:line="360" w:lineRule="auto"/>
              <w:ind w:firstLine="480" w:firstLineChars="200"/>
              <w:rPr>
                <w:color w:val="auto"/>
                <w:sz w:val="24"/>
                <w:highlight w:val="none"/>
              </w:rPr>
            </w:pPr>
            <w:r>
              <w:rPr>
                <w:color w:val="auto"/>
                <w:sz w:val="24"/>
                <w:highlight w:val="none"/>
              </w:rPr>
              <w:t>（二）销售、使用含磷洗涤用品；</w:t>
            </w:r>
          </w:p>
          <w:p>
            <w:pPr>
              <w:tabs>
                <w:tab w:val="left" w:pos="2160"/>
              </w:tabs>
              <w:spacing w:line="360" w:lineRule="auto"/>
              <w:ind w:firstLine="480" w:firstLineChars="200"/>
              <w:rPr>
                <w:color w:val="auto"/>
                <w:sz w:val="24"/>
                <w:highlight w:val="none"/>
              </w:rPr>
            </w:pPr>
            <w:r>
              <w:rPr>
                <w:color w:val="auto"/>
                <w:sz w:val="24"/>
                <w:highlight w:val="none"/>
              </w:rPr>
              <w:t>（三）向水体排放或者倾倒油类、酸液、碱液、剧毒废渣废液、含放射性废渣废液、含病原体污水、工业废渣以及其他废弃物；</w:t>
            </w:r>
          </w:p>
          <w:p>
            <w:pPr>
              <w:spacing w:line="360" w:lineRule="auto"/>
              <w:ind w:firstLine="480" w:firstLineChars="200"/>
              <w:rPr>
                <w:color w:val="auto"/>
                <w:sz w:val="24"/>
                <w:highlight w:val="none"/>
              </w:rPr>
            </w:pPr>
            <w:r>
              <w:rPr>
                <w:color w:val="auto"/>
                <w:sz w:val="24"/>
                <w:highlight w:val="none"/>
              </w:rPr>
              <w:t>（四）在水体清洗装贮过油类或者有毒有害污染物的车辆、船舶和容器等；</w:t>
            </w:r>
          </w:p>
          <w:p>
            <w:pPr>
              <w:spacing w:line="360" w:lineRule="auto"/>
              <w:ind w:firstLine="480" w:firstLineChars="200"/>
              <w:rPr>
                <w:color w:val="auto"/>
                <w:sz w:val="24"/>
                <w:highlight w:val="none"/>
              </w:rPr>
            </w:pPr>
            <w:r>
              <w:rPr>
                <w:color w:val="auto"/>
                <w:sz w:val="24"/>
                <w:highlight w:val="none"/>
              </w:rPr>
              <w:t>（五）使用农药等有毒物毒杀水生生物；</w:t>
            </w:r>
          </w:p>
          <w:p>
            <w:pPr>
              <w:spacing w:line="360" w:lineRule="auto"/>
              <w:ind w:firstLine="480" w:firstLineChars="200"/>
              <w:rPr>
                <w:color w:val="auto"/>
                <w:sz w:val="24"/>
                <w:highlight w:val="none"/>
              </w:rPr>
            </w:pPr>
            <w:r>
              <w:rPr>
                <w:color w:val="auto"/>
                <w:sz w:val="24"/>
                <w:highlight w:val="none"/>
              </w:rPr>
              <w:t>（六）向水体直接排放人畜粪便、倾倒垃圾；</w:t>
            </w:r>
          </w:p>
          <w:p>
            <w:pPr>
              <w:spacing w:line="360" w:lineRule="auto"/>
              <w:ind w:firstLine="480" w:firstLineChars="200"/>
              <w:rPr>
                <w:color w:val="auto"/>
                <w:sz w:val="24"/>
                <w:highlight w:val="none"/>
              </w:rPr>
            </w:pPr>
            <w:r>
              <w:rPr>
                <w:color w:val="auto"/>
                <w:sz w:val="24"/>
                <w:highlight w:val="none"/>
              </w:rPr>
              <w:t>（七）围湖造地；</w:t>
            </w:r>
          </w:p>
          <w:p>
            <w:pPr>
              <w:numPr>
                <w:ilvl w:val="0"/>
                <w:numId w:val="1"/>
              </w:numPr>
              <w:spacing w:line="360" w:lineRule="auto"/>
              <w:ind w:firstLine="480" w:firstLineChars="200"/>
              <w:rPr>
                <w:color w:val="auto"/>
                <w:sz w:val="24"/>
                <w:highlight w:val="none"/>
              </w:rPr>
            </w:pPr>
            <w:r>
              <w:rPr>
                <w:color w:val="auto"/>
                <w:sz w:val="24"/>
                <w:highlight w:val="none"/>
              </w:rPr>
              <w:t>违法开山采石，或者进行破坏林木、植被、水生生物的活动；</w:t>
            </w:r>
          </w:p>
          <w:p>
            <w:pPr>
              <w:spacing w:line="360" w:lineRule="auto"/>
              <w:ind w:firstLine="480" w:firstLineChars="200"/>
              <w:rPr>
                <w:color w:val="auto"/>
                <w:sz w:val="24"/>
                <w:highlight w:val="none"/>
              </w:rPr>
            </w:pPr>
            <w:r>
              <w:rPr>
                <w:color w:val="auto"/>
                <w:sz w:val="24"/>
                <w:highlight w:val="none"/>
              </w:rPr>
              <w:t>法律、法规禁止的其他行为。</w:t>
            </w:r>
          </w:p>
          <w:p>
            <w:pPr>
              <w:spacing w:line="360" w:lineRule="auto"/>
              <w:ind w:firstLine="480" w:firstLineChars="200"/>
              <w:rPr>
                <w:color w:val="auto"/>
                <w:sz w:val="24"/>
                <w:highlight w:val="none"/>
              </w:rPr>
            </w:pPr>
            <w:r>
              <w:rPr>
                <w:color w:val="auto"/>
                <w:sz w:val="24"/>
                <w:highlight w:val="none"/>
              </w:rPr>
              <w:t>本项目属于</w:t>
            </w:r>
            <w:r>
              <w:rPr>
                <w:rFonts w:hint="eastAsia"/>
                <w:color w:val="auto"/>
                <w:sz w:val="24"/>
                <w:highlight w:val="none"/>
              </w:rPr>
              <w:t>市政</w:t>
            </w:r>
            <w:r>
              <w:rPr>
                <w:color w:val="auto"/>
                <w:sz w:val="24"/>
                <w:highlight w:val="none"/>
              </w:rPr>
              <w:t>道路建设项目，不属于</w:t>
            </w:r>
            <w:r>
              <w:rPr>
                <w:rFonts w:hint="eastAsia"/>
                <w:color w:val="auto"/>
                <w:sz w:val="24"/>
                <w:highlight w:val="none"/>
              </w:rPr>
              <w:t>上述禁止行业</w:t>
            </w:r>
            <w:r>
              <w:rPr>
                <w:color w:val="auto"/>
                <w:sz w:val="24"/>
                <w:highlight w:val="none"/>
              </w:rPr>
              <w:t>，</w:t>
            </w:r>
            <w:r>
              <w:rPr>
                <w:rFonts w:hint="eastAsia"/>
                <w:color w:val="auto"/>
                <w:sz w:val="24"/>
                <w:highlight w:val="none"/>
              </w:rPr>
              <w:t>不违背</w:t>
            </w:r>
            <w:r>
              <w:rPr>
                <w:color w:val="auto"/>
                <w:sz w:val="24"/>
                <w:highlight w:val="none"/>
              </w:rPr>
              <w:t>《江苏省太湖水污染防治条例(2021年修订)》要求。</w:t>
            </w:r>
          </w:p>
          <w:p>
            <w:pPr>
              <w:widowControl/>
              <w:spacing w:line="360" w:lineRule="auto"/>
              <w:rPr>
                <w:b/>
                <w:color w:val="auto"/>
                <w:sz w:val="24"/>
                <w:highlight w:val="none"/>
              </w:rPr>
            </w:pPr>
            <w:r>
              <w:rPr>
                <w:rFonts w:hint="eastAsia"/>
                <w:b/>
                <w:color w:val="auto"/>
                <w:sz w:val="24"/>
                <w:highlight w:val="none"/>
              </w:rPr>
              <w:t>5、</w:t>
            </w:r>
            <w:r>
              <w:rPr>
                <w:b/>
                <w:color w:val="auto"/>
                <w:sz w:val="24"/>
                <w:highlight w:val="none"/>
              </w:rPr>
              <w:t>与苏州市“三线一单”生态环境分区管控实施方案相符性分析</w:t>
            </w:r>
          </w:p>
          <w:p>
            <w:pPr>
              <w:tabs>
                <w:tab w:val="left" w:pos="2160"/>
              </w:tabs>
              <w:spacing w:line="360" w:lineRule="auto"/>
              <w:ind w:firstLine="480" w:firstLineChars="200"/>
              <w:rPr>
                <w:color w:val="auto"/>
                <w:sz w:val="24"/>
                <w:highlight w:val="none"/>
              </w:rPr>
            </w:pPr>
            <w:r>
              <w:rPr>
                <w:color w:val="auto"/>
                <w:sz w:val="24"/>
                <w:highlight w:val="none"/>
              </w:rPr>
              <w:t>本项目位于苏州</w:t>
            </w:r>
            <w:r>
              <w:rPr>
                <w:rFonts w:hint="eastAsia"/>
                <w:color w:val="auto"/>
                <w:sz w:val="24"/>
                <w:highlight w:val="none"/>
              </w:rPr>
              <w:t>工业园区</w:t>
            </w:r>
            <w:r>
              <w:rPr>
                <w:color w:val="auto"/>
                <w:sz w:val="24"/>
                <w:highlight w:val="none"/>
              </w:rPr>
              <w:t>，根据《苏州市“三线一单”生态环境分区管控实施方案》（苏环办字[2020]313号）</w:t>
            </w:r>
            <w:r>
              <w:rPr>
                <w:rFonts w:hint="eastAsia"/>
                <w:color w:val="auto"/>
                <w:sz w:val="24"/>
                <w:highlight w:val="none"/>
              </w:rPr>
              <w:t>，</w:t>
            </w:r>
            <w:r>
              <w:rPr>
                <w:color w:val="auto"/>
                <w:sz w:val="24"/>
                <w:highlight w:val="none"/>
              </w:rPr>
              <w:t>本项目所在地</w:t>
            </w:r>
            <w:r>
              <w:rPr>
                <w:rFonts w:hint="eastAsia"/>
                <w:b/>
                <w:bCs/>
                <w:color w:val="auto"/>
                <w:sz w:val="24"/>
                <w:highlight w:val="none"/>
              </w:rPr>
              <w:t>为重点管控单元中的省级以上产业园区</w:t>
            </w:r>
            <w:r>
              <w:rPr>
                <w:rFonts w:hint="eastAsia"/>
                <w:color w:val="auto"/>
                <w:sz w:val="24"/>
                <w:highlight w:val="none"/>
              </w:rPr>
              <w:t>，相符性见下表。</w:t>
            </w:r>
          </w:p>
          <w:p>
            <w:pPr>
              <w:pStyle w:val="25"/>
              <w:widowControl/>
              <w:spacing w:beforeLines="0"/>
              <w:ind w:firstLine="0" w:firstLineChars="0"/>
              <w:jc w:val="center"/>
              <w:rPr>
                <w:rFonts w:cs="Times New Roman"/>
                <w:b/>
                <w:color w:val="auto"/>
                <w:kern w:val="0"/>
                <w:sz w:val="21"/>
                <w:szCs w:val="21"/>
                <w:highlight w:val="none"/>
              </w:rPr>
            </w:pPr>
          </w:p>
          <w:p>
            <w:pPr>
              <w:pStyle w:val="25"/>
              <w:widowControl/>
              <w:spacing w:beforeLines="0"/>
              <w:ind w:firstLine="0" w:firstLineChars="0"/>
              <w:jc w:val="center"/>
              <w:rPr>
                <w:b/>
                <w:bCs/>
                <w:color w:val="auto"/>
                <w:sz w:val="21"/>
                <w:szCs w:val="21"/>
                <w:highlight w:val="none"/>
              </w:rPr>
            </w:pPr>
            <w:r>
              <w:rPr>
                <w:rFonts w:cs="Times New Roman"/>
                <w:b/>
                <w:color w:val="auto"/>
                <w:kern w:val="0"/>
                <w:sz w:val="21"/>
                <w:szCs w:val="21"/>
                <w:highlight w:val="none"/>
              </w:rPr>
              <w:t>表1-</w:t>
            </w:r>
            <w:r>
              <w:rPr>
                <w:rFonts w:hint="eastAsia" w:cs="Times New Roman"/>
                <w:b/>
                <w:color w:val="auto"/>
                <w:kern w:val="0"/>
                <w:sz w:val="21"/>
                <w:szCs w:val="21"/>
                <w:highlight w:val="none"/>
              </w:rPr>
              <w:t xml:space="preserve">3 </w:t>
            </w:r>
            <w:r>
              <w:rPr>
                <w:b/>
                <w:bCs/>
                <w:color w:val="auto"/>
                <w:sz w:val="21"/>
                <w:szCs w:val="21"/>
                <w:highlight w:val="none"/>
              </w:rPr>
              <w:t>苏州市重点管</w:t>
            </w:r>
            <w:r>
              <w:rPr>
                <w:rFonts w:hint="eastAsia"/>
                <w:b/>
                <w:bCs/>
                <w:color w:val="auto"/>
                <w:sz w:val="21"/>
                <w:szCs w:val="21"/>
                <w:highlight w:val="none"/>
              </w:rPr>
              <w:t>控单元生态环境准入清单及符合性</w:t>
            </w:r>
          </w:p>
          <w:tbl>
            <w:tblPr>
              <w:tblStyle w:val="18"/>
              <w:tblW w:w="5000" w:type="pct"/>
              <w:tblInd w:w="0" w:type="dxa"/>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814"/>
              <w:gridCol w:w="2894"/>
              <w:gridCol w:w="1952"/>
              <w:gridCol w:w="1988"/>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720" w:hRule="atLeast"/>
              </w:trPr>
              <w:tc>
                <w:tcPr>
                  <w:tcW w:w="533" w:type="pct"/>
                  <w:tcBorders>
                    <w:top w:val="single" w:color="auto" w:sz="4" w:space="0"/>
                  </w:tcBorders>
                  <w:vAlign w:val="center"/>
                </w:tcPr>
                <w:p>
                  <w:pPr>
                    <w:jc w:val="center"/>
                    <w:rPr>
                      <w:b/>
                      <w:bCs/>
                      <w:color w:val="auto"/>
                      <w:szCs w:val="21"/>
                      <w:highlight w:val="none"/>
                    </w:rPr>
                  </w:pPr>
                  <w:r>
                    <w:rPr>
                      <w:b/>
                      <w:bCs/>
                      <w:color w:val="auto"/>
                      <w:szCs w:val="21"/>
                      <w:highlight w:val="none"/>
                    </w:rPr>
                    <w:t>环境管控单元名称</w:t>
                  </w:r>
                </w:p>
              </w:tc>
              <w:tc>
                <w:tcPr>
                  <w:tcW w:w="1891" w:type="pct"/>
                  <w:tcBorders>
                    <w:top w:val="single" w:color="auto" w:sz="4" w:space="0"/>
                  </w:tcBorders>
                  <w:noWrap/>
                  <w:vAlign w:val="center"/>
                </w:tcPr>
                <w:p>
                  <w:pPr>
                    <w:jc w:val="center"/>
                    <w:textAlignment w:val="center"/>
                    <w:rPr>
                      <w:b/>
                      <w:bCs/>
                      <w:color w:val="auto"/>
                      <w:szCs w:val="21"/>
                      <w:highlight w:val="none"/>
                    </w:rPr>
                  </w:pPr>
                  <w:r>
                    <w:rPr>
                      <w:b/>
                      <w:bCs/>
                      <w:color w:val="auto"/>
                      <w:szCs w:val="21"/>
                      <w:highlight w:val="none"/>
                    </w:rPr>
                    <w:t>生态环境准入清单</w:t>
                  </w:r>
                </w:p>
              </w:tc>
              <w:tc>
                <w:tcPr>
                  <w:tcW w:w="1275" w:type="pct"/>
                  <w:tcBorders>
                    <w:top w:val="single" w:color="auto" w:sz="4" w:space="0"/>
                  </w:tcBorders>
                  <w:noWrap/>
                  <w:vAlign w:val="center"/>
                </w:tcPr>
                <w:p>
                  <w:pPr>
                    <w:jc w:val="center"/>
                    <w:textAlignment w:val="center"/>
                    <w:rPr>
                      <w:b/>
                      <w:bCs/>
                      <w:color w:val="auto"/>
                      <w:szCs w:val="21"/>
                      <w:highlight w:val="none"/>
                    </w:rPr>
                  </w:pPr>
                  <w:r>
                    <w:rPr>
                      <w:b/>
                      <w:bCs/>
                      <w:color w:val="auto"/>
                      <w:szCs w:val="21"/>
                      <w:highlight w:val="none"/>
                    </w:rPr>
                    <w:t>项目情况</w:t>
                  </w:r>
                </w:p>
              </w:tc>
              <w:tc>
                <w:tcPr>
                  <w:tcW w:w="1299" w:type="pct"/>
                  <w:tcBorders>
                    <w:top w:val="single" w:color="auto" w:sz="4" w:space="0"/>
                  </w:tcBorders>
                  <w:noWrap/>
                  <w:vAlign w:val="center"/>
                </w:tcPr>
                <w:p>
                  <w:pPr>
                    <w:jc w:val="center"/>
                    <w:textAlignment w:val="center"/>
                    <w:rPr>
                      <w:b/>
                      <w:bCs/>
                      <w:color w:val="auto"/>
                      <w:szCs w:val="21"/>
                      <w:highlight w:val="none"/>
                    </w:rPr>
                  </w:pPr>
                  <w:r>
                    <w:rPr>
                      <w:b/>
                      <w:bCs/>
                      <w:color w:val="auto"/>
                      <w:szCs w:val="21"/>
                      <w:highlight w:val="none"/>
                    </w:rPr>
                    <w:t>相符性</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21" w:hRule="atLeast"/>
              </w:trPr>
              <w:tc>
                <w:tcPr>
                  <w:tcW w:w="533" w:type="pct"/>
                  <w:vMerge w:val="restart"/>
                  <w:vAlign w:val="center"/>
                </w:tcPr>
                <w:p>
                  <w:pPr>
                    <w:jc w:val="center"/>
                    <w:textAlignment w:val="center"/>
                    <w:rPr>
                      <w:color w:val="auto"/>
                      <w:szCs w:val="21"/>
                      <w:highlight w:val="none"/>
                    </w:rPr>
                  </w:pPr>
                  <w:r>
                    <w:rPr>
                      <w:color w:val="auto"/>
                      <w:szCs w:val="21"/>
                      <w:highlight w:val="none"/>
                    </w:rPr>
                    <w:t>空间布局约束</w:t>
                  </w:r>
                </w:p>
              </w:tc>
              <w:tc>
                <w:tcPr>
                  <w:tcW w:w="1891" w:type="pct"/>
                  <w:vMerge w:val="restart"/>
                  <w:vAlign w:val="center"/>
                </w:tcPr>
                <w:p>
                  <w:pPr>
                    <w:textAlignment w:val="center"/>
                    <w:rPr>
                      <w:color w:val="auto"/>
                      <w:szCs w:val="21"/>
                      <w:highlight w:val="none"/>
                    </w:rPr>
                  </w:pPr>
                  <w:r>
                    <w:rPr>
                      <w:color w:val="auto"/>
                      <w:szCs w:val="21"/>
                      <w:highlight w:val="none"/>
                    </w:rPr>
                    <w:t>(1)禁止引进列入《产业结构调整指导目录》《江苏省工业和信息产业结构调整指导目录》《江苏省工业和信息化产业结构调整、限制、淘汰目录及能耗限额》淘汰类的产业；禁止引进列入《外商投资产业指导日录》禁止类的产业。</w:t>
                  </w:r>
                </w:p>
                <w:p>
                  <w:pPr>
                    <w:textAlignment w:val="center"/>
                    <w:rPr>
                      <w:color w:val="auto"/>
                      <w:szCs w:val="21"/>
                      <w:highlight w:val="none"/>
                    </w:rPr>
                  </w:pPr>
                  <w:r>
                    <w:rPr>
                      <w:color w:val="auto"/>
                      <w:szCs w:val="21"/>
                      <w:highlight w:val="none"/>
                    </w:rPr>
                    <w:t>(2)</w:t>
                  </w:r>
                  <w:r>
                    <w:rPr>
                      <w:rFonts w:hint="eastAsia"/>
                      <w:color w:val="auto"/>
                      <w:szCs w:val="21"/>
                      <w:highlight w:val="none"/>
                    </w:rPr>
                    <w:t>严格执行园区总体规划及规划环评中提出的空间布局和产业准入要求，禁止引进不符合园区产业定位的项目。</w:t>
                  </w:r>
                </w:p>
                <w:p>
                  <w:pPr>
                    <w:textAlignment w:val="center"/>
                    <w:rPr>
                      <w:color w:val="auto"/>
                      <w:szCs w:val="21"/>
                      <w:highlight w:val="none"/>
                    </w:rPr>
                  </w:pPr>
                  <w:r>
                    <w:rPr>
                      <w:color w:val="auto"/>
                      <w:szCs w:val="21"/>
                      <w:highlight w:val="none"/>
                    </w:rPr>
                    <w:t>(3)严格执行《江苏省太湖水污染防治条例》的分级保护要求。禁止引进不符合《条例》要求的项目。</w:t>
                  </w:r>
                </w:p>
                <w:p>
                  <w:pPr>
                    <w:textAlignment w:val="center"/>
                    <w:rPr>
                      <w:color w:val="auto"/>
                      <w:szCs w:val="21"/>
                      <w:highlight w:val="none"/>
                    </w:rPr>
                  </w:pPr>
                  <w:r>
                    <w:rPr>
                      <w:color w:val="auto"/>
                      <w:szCs w:val="21"/>
                      <w:highlight w:val="none"/>
                    </w:rPr>
                    <w:t>(4)严格执行《阳澄湖水源水质水保护条例》相关管控要求。</w:t>
                  </w:r>
                </w:p>
                <w:p>
                  <w:pPr>
                    <w:textAlignment w:val="center"/>
                    <w:rPr>
                      <w:color w:val="auto"/>
                      <w:szCs w:val="21"/>
                      <w:highlight w:val="none"/>
                    </w:rPr>
                  </w:pPr>
                  <w:r>
                    <w:rPr>
                      <w:color w:val="auto"/>
                      <w:szCs w:val="21"/>
                      <w:highlight w:val="none"/>
                    </w:rPr>
                    <w:t>(5)严格执行《中华人民共和国长江保护法》。</w:t>
                  </w:r>
                </w:p>
                <w:p>
                  <w:pPr>
                    <w:textAlignment w:val="center"/>
                    <w:rPr>
                      <w:color w:val="auto"/>
                      <w:szCs w:val="21"/>
                      <w:highlight w:val="none"/>
                    </w:rPr>
                  </w:pPr>
                  <w:r>
                    <w:rPr>
                      <w:color w:val="auto"/>
                      <w:szCs w:val="21"/>
                      <w:highlight w:val="none"/>
                    </w:rPr>
                    <w:t>(6）禁止引进列入上级生态环境负面清单的项目。</w:t>
                  </w:r>
                </w:p>
              </w:tc>
              <w:tc>
                <w:tcPr>
                  <w:tcW w:w="1275" w:type="pct"/>
                  <w:vMerge w:val="restart"/>
                  <w:vAlign w:val="center"/>
                </w:tcPr>
                <w:p>
                  <w:pPr>
                    <w:rPr>
                      <w:color w:val="auto"/>
                      <w:szCs w:val="21"/>
                      <w:highlight w:val="none"/>
                    </w:rPr>
                  </w:pPr>
                  <w:r>
                    <w:rPr>
                      <w:color w:val="auto"/>
                      <w:szCs w:val="21"/>
                      <w:highlight w:val="none"/>
                    </w:rPr>
                    <w:t>符合苏州</w:t>
                  </w:r>
                  <w:r>
                    <w:rPr>
                      <w:rFonts w:hint="eastAsia"/>
                      <w:color w:val="auto"/>
                      <w:szCs w:val="21"/>
                      <w:highlight w:val="none"/>
                    </w:rPr>
                    <w:t>工业园区</w:t>
                  </w:r>
                  <w:r>
                    <w:rPr>
                      <w:color w:val="auto"/>
                      <w:szCs w:val="21"/>
                      <w:highlight w:val="none"/>
                    </w:rPr>
                    <w:t>产业定位，本项目所在行业不属于需淘汰或禁止的行业；不属于禁止引进不符合区产业准入要求的项目；符合《江苏省太湖水污染防治条例》的相关要求；不在阳澄湖水源地保护区范围内，符合《阳澄湖水源水质保护条例》；符合《中华人民共和国长江保护法》；不属于环境负面清单项目。</w:t>
                  </w:r>
                </w:p>
              </w:tc>
              <w:tc>
                <w:tcPr>
                  <w:tcW w:w="1299" w:type="pct"/>
                  <w:vMerge w:val="restart"/>
                  <w:noWrap/>
                  <w:vAlign w:val="center"/>
                </w:tcPr>
                <w:p>
                  <w:pPr>
                    <w:jc w:val="center"/>
                    <w:textAlignment w:val="center"/>
                    <w:rPr>
                      <w:color w:val="auto"/>
                      <w:szCs w:val="21"/>
                      <w:highlight w:val="none"/>
                    </w:rPr>
                  </w:pPr>
                  <w:r>
                    <w:rPr>
                      <w:color w:val="auto"/>
                      <w:szCs w:val="21"/>
                      <w:highlight w:val="none"/>
                    </w:rPr>
                    <w:t>符合</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restart"/>
                  <w:vAlign w:val="center"/>
                </w:tcPr>
                <w:p>
                  <w:pPr>
                    <w:jc w:val="center"/>
                    <w:textAlignment w:val="center"/>
                    <w:rPr>
                      <w:color w:val="auto"/>
                      <w:szCs w:val="21"/>
                      <w:highlight w:val="none"/>
                    </w:rPr>
                  </w:pPr>
                  <w:r>
                    <w:rPr>
                      <w:color w:val="auto"/>
                      <w:szCs w:val="21"/>
                      <w:highlight w:val="none"/>
                    </w:rPr>
                    <w:t>污染物排放管理</w:t>
                  </w:r>
                </w:p>
              </w:tc>
              <w:tc>
                <w:tcPr>
                  <w:tcW w:w="1891" w:type="pct"/>
                  <w:vMerge w:val="restart"/>
                  <w:vAlign w:val="center"/>
                </w:tcPr>
                <w:p>
                  <w:pPr>
                    <w:textAlignment w:val="center"/>
                    <w:rPr>
                      <w:color w:val="auto"/>
                      <w:szCs w:val="21"/>
                      <w:highlight w:val="none"/>
                    </w:rPr>
                  </w:pPr>
                  <w:r>
                    <w:rPr>
                      <w:color w:val="auto"/>
                      <w:szCs w:val="21"/>
                      <w:highlight w:val="none"/>
                    </w:rPr>
                    <w:t>(1)园区内企业污染物排放应满足相关国家、地方污染物排放标准要求。</w:t>
                  </w:r>
                </w:p>
                <w:p>
                  <w:pPr>
                    <w:textAlignment w:val="center"/>
                    <w:rPr>
                      <w:color w:val="auto"/>
                      <w:szCs w:val="21"/>
                      <w:highlight w:val="none"/>
                    </w:rPr>
                  </w:pPr>
                  <w:r>
                    <w:rPr>
                      <w:color w:val="auto"/>
                      <w:szCs w:val="21"/>
                      <w:highlight w:val="none"/>
                    </w:rPr>
                    <w:t>(2)园区污染物排放总量按照园区总体规划、规划环评及审查意见的要求进行管控。</w:t>
                  </w:r>
                </w:p>
                <w:p>
                  <w:pPr>
                    <w:textAlignment w:val="center"/>
                    <w:rPr>
                      <w:color w:val="auto"/>
                      <w:szCs w:val="21"/>
                      <w:highlight w:val="none"/>
                    </w:rPr>
                  </w:pPr>
                  <w:r>
                    <w:rPr>
                      <w:color w:val="auto"/>
                      <w:szCs w:val="21"/>
                      <w:highlight w:val="none"/>
                    </w:rPr>
                    <w:t>(3)根据区域环境质量改善目标，采取有效措施减少主要污染物排放总量，确保区域环境质量持续改善。</w:t>
                  </w:r>
                </w:p>
              </w:tc>
              <w:tc>
                <w:tcPr>
                  <w:tcW w:w="1275" w:type="pct"/>
                  <w:vMerge w:val="restart"/>
                  <w:vAlign w:val="center"/>
                </w:tcPr>
                <w:p>
                  <w:pPr>
                    <w:textAlignment w:val="center"/>
                    <w:rPr>
                      <w:color w:val="auto"/>
                      <w:szCs w:val="21"/>
                      <w:highlight w:val="none"/>
                    </w:rPr>
                  </w:pPr>
                  <w:r>
                    <w:rPr>
                      <w:color w:val="auto"/>
                      <w:szCs w:val="21"/>
                      <w:highlight w:val="none"/>
                    </w:rPr>
                    <w:t>本项目满足相关国家、地方污染物排放标准要求，</w:t>
                  </w:r>
                  <w:r>
                    <w:rPr>
                      <w:rFonts w:hint="eastAsia"/>
                      <w:color w:val="auto"/>
                      <w:szCs w:val="21"/>
                      <w:highlight w:val="none"/>
                    </w:rPr>
                    <w:t>本项目不申请污染物总量，</w:t>
                  </w:r>
                  <w:r>
                    <w:rPr>
                      <w:color w:val="auto"/>
                      <w:szCs w:val="21"/>
                      <w:highlight w:val="none"/>
                    </w:rPr>
                    <w:t>本项目对周围环境空气质量影响较小。</w:t>
                  </w:r>
                </w:p>
              </w:tc>
              <w:tc>
                <w:tcPr>
                  <w:tcW w:w="1299" w:type="pct"/>
                  <w:vMerge w:val="restart"/>
                  <w:noWrap/>
                  <w:vAlign w:val="center"/>
                </w:tcPr>
                <w:p>
                  <w:pPr>
                    <w:jc w:val="center"/>
                    <w:textAlignment w:val="center"/>
                    <w:rPr>
                      <w:color w:val="auto"/>
                      <w:szCs w:val="21"/>
                      <w:highlight w:val="none"/>
                    </w:rPr>
                  </w:pPr>
                  <w:r>
                    <w:rPr>
                      <w:color w:val="auto"/>
                      <w:szCs w:val="21"/>
                      <w:highlight w:val="none"/>
                    </w:rPr>
                    <w:t>符合</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618"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vAlign w:val="center"/>
                </w:tcPr>
                <w:p>
                  <w:pP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restart"/>
                  <w:vAlign w:val="center"/>
                </w:tcPr>
                <w:p>
                  <w:pPr>
                    <w:jc w:val="center"/>
                    <w:textAlignment w:val="center"/>
                    <w:rPr>
                      <w:color w:val="auto"/>
                      <w:szCs w:val="21"/>
                      <w:highlight w:val="none"/>
                    </w:rPr>
                  </w:pPr>
                  <w:r>
                    <w:rPr>
                      <w:color w:val="auto"/>
                      <w:szCs w:val="21"/>
                      <w:highlight w:val="none"/>
                    </w:rPr>
                    <w:t>环境风险防</w:t>
                  </w:r>
                </w:p>
              </w:tc>
              <w:tc>
                <w:tcPr>
                  <w:tcW w:w="1891" w:type="pct"/>
                  <w:vMerge w:val="restart"/>
                  <w:vAlign w:val="center"/>
                </w:tcPr>
                <w:p>
                  <w:pPr>
                    <w:textAlignment w:val="center"/>
                    <w:rPr>
                      <w:color w:val="auto"/>
                      <w:szCs w:val="21"/>
                      <w:highlight w:val="none"/>
                    </w:rPr>
                  </w:pPr>
                  <w:r>
                    <w:rPr>
                      <w:color w:val="auto"/>
                      <w:szCs w:val="21"/>
                      <w:highlight w:val="none"/>
                    </w:rPr>
                    <w:t>(1)建立以园区突发环境事件应急处置机构为核心，与地方政府和企事业单位应急处置机构联动的应急处置机构联动的应急响应体系，加强应急物资装备储备，编制突发环境事件应急预案，定期开展演练，</w:t>
                  </w:r>
                </w:p>
                <w:p>
                  <w:pPr>
                    <w:textAlignment w:val="center"/>
                    <w:rPr>
                      <w:color w:val="auto"/>
                      <w:szCs w:val="21"/>
                      <w:highlight w:val="none"/>
                    </w:rPr>
                  </w:pPr>
                  <w:r>
                    <w:rPr>
                      <w:color w:val="auto"/>
                      <w:szCs w:val="21"/>
                      <w:highlight w:val="none"/>
                    </w:rPr>
                    <w:t>(2)生产、使用储存危险化学品或</w:t>
                  </w:r>
                  <w:r>
                    <w:rPr>
                      <w:rFonts w:hint="eastAsia"/>
                      <w:color w:val="auto"/>
                      <w:szCs w:val="21"/>
                      <w:highlight w:val="none"/>
                    </w:rPr>
                    <w:t>其</w:t>
                  </w:r>
                  <w:r>
                    <w:rPr>
                      <w:color w:val="auto"/>
                      <w:szCs w:val="21"/>
                      <w:highlight w:val="none"/>
                    </w:rPr>
                    <w:t>他存在环境风险的企事业单位，应当制定风险防范措施，编制突发环境事件应急预案，防止发生环境事故。</w:t>
                  </w:r>
                </w:p>
                <w:p>
                  <w:pPr>
                    <w:textAlignment w:val="center"/>
                    <w:rPr>
                      <w:color w:val="auto"/>
                      <w:szCs w:val="21"/>
                      <w:highlight w:val="none"/>
                    </w:rPr>
                  </w:pPr>
                  <w:r>
                    <w:rPr>
                      <w:color w:val="auto"/>
                      <w:szCs w:val="21"/>
                      <w:highlight w:val="none"/>
                    </w:rPr>
                    <w:t>(3)加强环境影响跟踪监测，建立健全各环境要素监控体系，完善并落实园区日常环境监测污染源监控计划。</w:t>
                  </w:r>
                </w:p>
              </w:tc>
              <w:tc>
                <w:tcPr>
                  <w:tcW w:w="1275" w:type="pct"/>
                  <w:vMerge w:val="restart"/>
                  <w:noWrap/>
                  <w:vAlign w:val="center"/>
                </w:tcPr>
                <w:p>
                  <w:pPr>
                    <w:pStyle w:val="6"/>
                    <w:rPr>
                      <w:color w:val="auto"/>
                      <w:sz w:val="21"/>
                      <w:szCs w:val="21"/>
                      <w:highlight w:val="none"/>
                    </w:rPr>
                  </w:pPr>
                  <w:r>
                    <w:rPr>
                      <w:color w:val="auto"/>
                      <w:sz w:val="21"/>
                      <w:szCs w:val="21"/>
                      <w:highlight w:val="none"/>
                    </w:rPr>
                    <w:t>本项目应充分利用区域风险事故应急预案，加强与区域的联动；提醒司机谨慎驾驶；防撞护栏进行强化加固设计</w:t>
                  </w:r>
                  <w:r>
                    <w:rPr>
                      <w:rFonts w:hint="eastAsia"/>
                      <w:color w:val="auto"/>
                      <w:sz w:val="21"/>
                      <w:szCs w:val="21"/>
                      <w:highlight w:val="none"/>
                    </w:rPr>
                    <w:t>等</w:t>
                  </w:r>
                  <w:r>
                    <w:rPr>
                      <w:color w:val="auto"/>
                      <w:kern w:val="2"/>
                      <w:sz w:val="21"/>
                      <w:szCs w:val="21"/>
                      <w:highlight w:val="none"/>
                    </w:rPr>
                    <w:t>。</w:t>
                  </w:r>
                </w:p>
              </w:tc>
              <w:tc>
                <w:tcPr>
                  <w:tcW w:w="1299" w:type="pct"/>
                  <w:vMerge w:val="restart"/>
                  <w:noWrap/>
                  <w:vAlign w:val="center"/>
                </w:tcPr>
                <w:p>
                  <w:pPr>
                    <w:jc w:val="center"/>
                    <w:textAlignment w:val="center"/>
                    <w:rPr>
                      <w:color w:val="auto"/>
                      <w:szCs w:val="21"/>
                      <w:highlight w:val="none"/>
                    </w:rPr>
                  </w:pPr>
                  <w:r>
                    <w:rPr>
                      <w:color w:val="auto"/>
                      <w:szCs w:val="21"/>
                      <w:highlight w:val="none"/>
                    </w:rPr>
                    <w:t>符合</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noWrap/>
                  <w:vAlign w:val="center"/>
                </w:tcPr>
                <w:p>
                  <w:pPr>
                    <w:jc w:val="cente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noWrap/>
                  <w:vAlign w:val="center"/>
                </w:tcPr>
                <w:p>
                  <w:pPr>
                    <w:jc w:val="cente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noWrap/>
                  <w:vAlign w:val="center"/>
                </w:tcPr>
                <w:p>
                  <w:pPr>
                    <w:jc w:val="cente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noWrap/>
                  <w:vAlign w:val="center"/>
                </w:tcPr>
                <w:p>
                  <w:pPr>
                    <w:jc w:val="cente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noWrap/>
                  <w:vAlign w:val="center"/>
                </w:tcPr>
                <w:p>
                  <w:pPr>
                    <w:jc w:val="cente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Merge w:val="continue"/>
                  <w:vAlign w:val="center"/>
                </w:tcPr>
                <w:p>
                  <w:pPr>
                    <w:jc w:val="center"/>
                    <w:rPr>
                      <w:color w:val="auto"/>
                      <w:szCs w:val="21"/>
                      <w:highlight w:val="none"/>
                    </w:rPr>
                  </w:pPr>
                </w:p>
              </w:tc>
              <w:tc>
                <w:tcPr>
                  <w:tcW w:w="1891" w:type="pct"/>
                  <w:vMerge w:val="continue"/>
                  <w:vAlign w:val="center"/>
                </w:tcPr>
                <w:p>
                  <w:pPr>
                    <w:rPr>
                      <w:color w:val="auto"/>
                      <w:szCs w:val="21"/>
                      <w:highlight w:val="none"/>
                    </w:rPr>
                  </w:pPr>
                </w:p>
              </w:tc>
              <w:tc>
                <w:tcPr>
                  <w:tcW w:w="1275" w:type="pct"/>
                  <w:vMerge w:val="continue"/>
                  <w:noWrap/>
                  <w:vAlign w:val="center"/>
                </w:tcPr>
                <w:p>
                  <w:pPr>
                    <w:jc w:val="center"/>
                    <w:rPr>
                      <w:color w:val="auto"/>
                      <w:szCs w:val="21"/>
                      <w:highlight w:val="none"/>
                    </w:rPr>
                  </w:pPr>
                </w:p>
              </w:tc>
              <w:tc>
                <w:tcPr>
                  <w:tcW w:w="1299" w:type="pct"/>
                  <w:vMerge w:val="continue"/>
                  <w:noWrap/>
                  <w:vAlign w:val="center"/>
                </w:tcPr>
                <w:p>
                  <w:pPr>
                    <w:jc w:val="center"/>
                    <w:rPr>
                      <w:color w:val="auto"/>
                      <w:szCs w:val="21"/>
                      <w:highlight w:val="non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533" w:type="pct"/>
                  <w:vAlign w:val="center"/>
                </w:tcPr>
                <w:p>
                  <w:pPr>
                    <w:jc w:val="center"/>
                    <w:textAlignment w:val="center"/>
                    <w:rPr>
                      <w:color w:val="auto"/>
                      <w:szCs w:val="21"/>
                      <w:highlight w:val="none"/>
                    </w:rPr>
                  </w:pPr>
                  <w:r>
                    <w:rPr>
                      <w:color w:val="auto"/>
                      <w:szCs w:val="21"/>
                      <w:highlight w:val="none"/>
                    </w:rPr>
                    <w:t>资源开发效率要求</w:t>
                  </w:r>
                </w:p>
              </w:tc>
              <w:tc>
                <w:tcPr>
                  <w:tcW w:w="1891" w:type="pct"/>
                  <w:vAlign w:val="center"/>
                </w:tcPr>
                <w:p>
                  <w:pPr>
                    <w:textAlignment w:val="center"/>
                    <w:rPr>
                      <w:color w:val="auto"/>
                      <w:szCs w:val="21"/>
                      <w:highlight w:val="none"/>
                    </w:rPr>
                  </w:pPr>
                  <w:r>
                    <w:rPr>
                      <w:color w:val="auto"/>
                      <w:szCs w:val="21"/>
                      <w:highlight w:val="none"/>
                    </w:rPr>
                    <w:t>(1)园区内企业</w:t>
                  </w:r>
                  <w:r>
                    <w:rPr>
                      <w:rFonts w:hint="eastAsia"/>
                      <w:color w:val="auto"/>
                      <w:szCs w:val="21"/>
                      <w:highlight w:val="none"/>
                    </w:rPr>
                    <w:t>清</w:t>
                  </w:r>
                  <w:r>
                    <w:rPr>
                      <w:color w:val="auto"/>
                      <w:szCs w:val="21"/>
                      <w:highlight w:val="none"/>
                    </w:rPr>
                    <w:t>洁生产水平、单位工业增加值</w:t>
                  </w:r>
                  <w:r>
                    <w:rPr>
                      <w:rFonts w:hint="eastAsia"/>
                      <w:color w:val="auto"/>
                      <w:szCs w:val="21"/>
                      <w:highlight w:val="none"/>
                    </w:rPr>
                    <w:t>新鲜</w:t>
                  </w:r>
                  <w:r>
                    <w:rPr>
                      <w:color w:val="auto"/>
                      <w:szCs w:val="21"/>
                      <w:highlight w:val="none"/>
                    </w:rPr>
                    <w:t>水耗和综合能耗应满足园区总体规划、</w:t>
                  </w:r>
                  <w:r>
                    <w:rPr>
                      <w:rFonts w:hint="eastAsia"/>
                      <w:color w:val="auto"/>
                      <w:szCs w:val="21"/>
                      <w:highlight w:val="none"/>
                    </w:rPr>
                    <w:t>规划</w:t>
                  </w:r>
                  <w:r>
                    <w:rPr>
                      <w:color w:val="auto"/>
                      <w:szCs w:val="21"/>
                      <w:highlight w:val="none"/>
                    </w:rPr>
                    <w:t>环评及审查意见要求。</w:t>
                  </w:r>
                </w:p>
                <w:p>
                  <w:pPr>
                    <w:textAlignment w:val="center"/>
                    <w:rPr>
                      <w:color w:val="auto"/>
                      <w:szCs w:val="21"/>
                      <w:highlight w:val="none"/>
                    </w:rPr>
                  </w:pPr>
                  <w:r>
                    <w:rPr>
                      <w:color w:val="auto"/>
                      <w:szCs w:val="21"/>
                      <w:highlight w:val="none"/>
                    </w:rPr>
                    <w:t>(2)禁止销售使用燃料为“Ⅲ类”（严格），具体包括：1、煤炭及其剑品(包括原煤、散煤﹑煤矸石、煤泥、煤粉、水煤浆、型煤、焦炭、兰炭等)；2、石油焦、油页岩、原油、重油、渣油、煤焦油；</w:t>
                  </w:r>
                </w:p>
                <w:p>
                  <w:pPr>
                    <w:textAlignment w:val="center"/>
                    <w:rPr>
                      <w:color w:val="auto"/>
                      <w:szCs w:val="21"/>
                      <w:highlight w:val="none"/>
                    </w:rPr>
                  </w:pPr>
                  <w:r>
                    <w:rPr>
                      <w:color w:val="auto"/>
                      <w:szCs w:val="21"/>
                      <w:highlight w:val="none"/>
                    </w:rPr>
                    <w:t>(3)非专用锅炉或未配置高效除尘设施的专用锅炉燃用的生物质成型燃料；</w:t>
                  </w:r>
                </w:p>
                <w:p>
                  <w:pPr>
                    <w:textAlignment w:val="center"/>
                    <w:rPr>
                      <w:color w:val="auto"/>
                      <w:szCs w:val="21"/>
                      <w:highlight w:val="none"/>
                    </w:rPr>
                  </w:pPr>
                  <w:r>
                    <w:rPr>
                      <w:color w:val="auto"/>
                      <w:szCs w:val="21"/>
                      <w:highlight w:val="none"/>
                    </w:rPr>
                    <w:t>(4)国家规定的其他高污染燃料。</w:t>
                  </w:r>
                </w:p>
              </w:tc>
              <w:tc>
                <w:tcPr>
                  <w:tcW w:w="1275" w:type="pct"/>
                  <w:noWrap/>
                  <w:vAlign w:val="center"/>
                </w:tcPr>
                <w:p>
                  <w:pPr>
                    <w:textAlignment w:val="center"/>
                    <w:rPr>
                      <w:color w:val="auto"/>
                      <w:szCs w:val="21"/>
                      <w:highlight w:val="none"/>
                    </w:rPr>
                  </w:pPr>
                  <w:r>
                    <w:rPr>
                      <w:color w:val="auto"/>
                      <w:szCs w:val="21"/>
                      <w:highlight w:val="none"/>
                    </w:rPr>
                    <w:t>本项目不销售使用燃料。</w:t>
                  </w:r>
                </w:p>
              </w:tc>
              <w:tc>
                <w:tcPr>
                  <w:tcW w:w="1299" w:type="pct"/>
                  <w:noWrap/>
                  <w:vAlign w:val="center"/>
                </w:tcPr>
                <w:p>
                  <w:pPr>
                    <w:jc w:val="center"/>
                    <w:textAlignment w:val="center"/>
                    <w:rPr>
                      <w:color w:val="auto"/>
                      <w:szCs w:val="21"/>
                      <w:highlight w:val="none"/>
                    </w:rPr>
                  </w:pPr>
                  <w:r>
                    <w:rPr>
                      <w:color w:val="auto"/>
                      <w:szCs w:val="21"/>
                      <w:highlight w:val="none"/>
                    </w:rPr>
                    <w:t>符合</w:t>
                  </w:r>
                </w:p>
              </w:tc>
            </w:tr>
          </w:tbl>
          <w:p>
            <w:pPr>
              <w:autoSpaceDE w:val="0"/>
              <w:autoSpaceDN w:val="0"/>
              <w:adjustRightInd w:val="0"/>
              <w:snapToGrid w:val="0"/>
              <w:spacing w:line="360" w:lineRule="auto"/>
              <w:ind w:firstLine="480" w:firstLineChars="200"/>
              <w:rPr>
                <w:color w:val="auto"/>
                <w:highlight w:val="none"/>
              </w:rPr>
            </w:pPr>
            <w:r>
              <w:rPr>
                <w:rFonts w:hint="eastAsia"/>
                <w:color w:val="auto"/>
                <w:sz w:val="24"/>
                <w:highlight w:val="none"/>
              </w:rPr>
              <w:t>对照上表，本项目符合</w:t>
            </w:r>
            <w:r>
              <w:rPr>
                <w:color w:val="auto"/>
                <w:sz w:val="24"/>
                <w:highlight w:val="none"/>
              </w:rPr>
              <w:t>《苏州市“三线一单”生态环境分区管控实施方案》（苏环办字[2020]313号）</w:t>
            </w:r>
            <w:r>
              <w:rPr>
                <w:rFonts w:hint="eastAsia"/>
                <w:color w:val="auto"/>
                <w:sz w:val="24"/>
                <w:highlight w:val="none"/>
              </w:rPr>
              <w:t>相关要求。</w:t>
            </w:r>
          </w:p>
          <w:p>
            <w:pPr>
              <w:rPr>
                <w:color w:val="auto"/>
                <w:highlight w:val="none"/>
              </w:rPr>
            </w:pPr>
          </w:p>
          <w:p>
            <w:pPr>
              <w:rPr>
                <w:color w:val="auto"/>
                <w:highlight w:val="none"/>
              </w:rPr>
            </w:pPr>
          </w:p>
        </w:tc>
      </w:tr>
    </w:tbl>
    <w:p>
      <w:pPr>
        <w:spacing w:line="360" w:lineRule="auto"/>
        <w:rPr>
          <w:rFonts w:eastAsia="黑体"/>
          <w:color w:val="auto"/>
          <w:sz w:val="30"/>
          <w:highlight w:val="none"/>
        </w:rPr>
        <w:sectPr>
          <w:footerReference r:id="rId4" w:type="default"/>
          <w:pgSz w:w="11906" w:h="16838"/>
          <w:pgMar w:top="1701" w:right="1531" w:bottom="1701" w:left="1531" w:header="851" w:footer="850" w:gutter="0"/>
          <w:pgNumType w:start="1"/>
          <w:cols w:space="720" w:num="1"/>
          <w:docGrid w:linePitch="312" w:charSpace="0"/>
        </w:sectPr>
      </w:pPr>
    </w:p>
    <w:p>
      <w:pPr>
        <w:pStyle w:val="15"/>
        <w:jc w:val="center"/>
        <w:outlineLvl w:val="0"/>
        <w:rPr>
          <w:rFonts w:ascii="黑体" w:hAnsi="黑体" w:eastAsia="黑体"/>
          <w:snapToGrid w:val="0"/>
          <w:color w:val="auto"/>
          <w:sz w:val="30"/>
          <w:szCs w:val="30"/>
          <w:highlight w:val="none"/>
        </w:rPr>
      </w:pPr>
      <w:bookmarkStart w:id="2" w:name="_Toc15276"/>
      <w:bookmarkStart w:id="3" w:name="_Toc10557"/>
      <w:r>
        <w:rPr>
          <w:rFonts w:hint="eastAsia" w:ascii="黑体" w:hAnsi="黑体" w:eastAsia="黑体"/>
          <w:snapToGrid w:val="0"/>
          <w:color w:val="auto"/>
          <w:sz w:val="30"/>
          <w:szCs w:val="30"/>
          <w:highlight w:val="none"/>
        </w:rPr>
        <w:t>二、建设内容</w:t>
      </w:r>
      <w:bookmarkEnd w:id="2"/>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426" w:type="dxa"/>
            <w:vAlign w:val="center"/>
          </w:tcPr>
          <w:p>
            <w:pPr>
              <w:pStyle w:val="15"/>
              <w:adjustRightInd w:val="0"/>
              <w:snapToGrid w:val="0"/>
              <w:spacing w:before="0" w:beforeAutospacing="0" w:after="0" w:afterAutospacing="0" w:line="360" w:lineRule="auto"/>
              <w:jc w:val="center"/>
              <w:rPr>
                <w:rFonts w:ascii="Times New Roman" w:hAnsi="Times New Roman"/>
                <w:color w:val="auto"/>
                <w:szCs w:val="24"/>
                <w:highlight w:val="none"/>
              </w:rPr>
            </w:pPr>
            <w:r>
              <w:rPr>
                <w:color w:val="auto"/>
                <w:szCs w:val="24"/>
                <w:highlight w:val="none"/>
              </w:rPr>
              <w:t>地理位置</w:t>
            </w:r>
          </w:p>
        </w:tc>
        <w:tc>
          <w:tcPr>
            <w:tcW w:w="8634" w:type="dxa"/>
          </w:tcPr>
          <w:p>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扬东路工程东</w:t>
            </w:r>
            <w:r>
              <w:rPr>
                <w:rFonts w:hint="eastAsia"/>
                <w:color w:val="auto"/>
                <w:kern w:val="0"/>
                <w:sz w:val="24"/>
                <w:highlight w:val="none"/>
                <w:lang w:val="en-US" w:eastAsia="zh-CN"/>
              </w:rPr>
              <w:t>起</w:t>
            </w:r>
            <w:r>
              <w:rPr>
                <w:rFonts w:hint="eastAsia"/>
                <w:color w:val="auto"/>
                <w:kern w:val="0"/>
                <w:sz w:val="24"/>
                <w:highlight w:val="none"/>
              </w:rPr>
              <w:t>扬帆路</w:t>
            </w:r>
            <w:r>
              <w:rPr>
                <w:rFonts w:hint="eastAsia"/>
                <w:color w:val="auto"/>
                <w:kern w:val="0"/>
                <w:sz w:val="24"/>
                <w:highlight w:val="none"/>
                <w:lang w:eastAsia="zh-CN"/>
              </w:rPr>
              <w:t>，</w:t>
            </w:r>
            <w:r>
              <w:rPr>
                <w:rFonts w:hint="eastAsia"/>
                <w:color w:val="auto"/>
                <w:kern w:val="0"/>
                <w:sz w:val="24"/>
                <w:highlight w:val="none"/>
              </w:rPr>
              <w:t>向东下穿苏嘉杭高速高架桥，西</w:t>
            </w:r>
            <w:r>
              <w:rPr>
                <w:rFonts w:hint="eastAsia"/>
                <w:color w:val="auto"/>
                <w:kern w:val="0"/>
                <w:sz w:val="24"/>
                <w:highlight w:val="none"/>
                <w:lang w:val="en-US" w:eastAsia="zh-CN"/>
              </w:rPr>
              <w:t>至</w:t>
            </w:r>
            <w:r>
              <w:rPr>
                <w:rFonts w:hint="eastAsia"/>
                <w:color w:val="auto"/>
                <w:kern w:val="0"/>
                <w:sz w:val="24"/>
                <w:highlight w:val="none"/>
              </w:rPr>
              <w:t>园区界外塘河，路线全长约0.35km，其中扬帆路交叉口不在项目范围内。扬东路为区域东西向二级公路（兼城市次干路），道路标准断面32m，双向四车道。</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起点（YK0+956.068）坐标（E120°42′0.3564″，31°19′30.08280″）</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终点（YK1+309.398）坐标（E120°42′19.231″，N31°19′13.3392″）。</w:t>
            </w:r>
          </w:p>
          <w:p>
            <w:pPr>
              <w:adjustRightInd w:val="0"/>
              <w:snapToGrid w:val="0"/>
              <w:spacing w:line="360" w:lineRule="auto"/>
              <w:ind w:firstLine="480" w:firstLineChars="200"/>
              <w:rPr>
                <w:color w:val="auto"/>
                <w:kern w:val="0"/>
                <w:sz w:val="24"/>
                <w:highlight w:val="none"/>
              </w:rPr>
            </w:pPr>
            <w:r>
              <w:rPr>
                <w:color w:val="auto"/>
                <w:kern w:val="0"/>
                <w:sz w:val="24"/>
                <w:highlight w:val="none"/>
              </w:rPr>
              <w:t>项目地理位置图详见</w:t>
            </w:r>
            <w:r>
              <w:rPr>
                <w:rFonts w:hint="eastAsia"/>
                <w:color w:val="auto"/>
                <w:kern w:val="0"/>
                <w:sz w:val="24"/>
                <w:highlight w:val="none"/>
              </w:rPr>
              <w:t>下图及</w:t>
            </w:r>
            <w:r>
              <w:rPr>
                <w:color w:val="auto"/>
                <w:kern w:val="0"/>
                <w:sz w:val="24"/>
                <w:highlight w:val="none"/>
              </w:rPr>
              <w:t>附图1</w:t>
            </w:r>
            <w:r>
              <w:rPr>
                <w:rFonts w:hint="eastAsia"/>
                <w:color w:val="auto"/>
                <w:kern w:val="0"/>
                <w:sz w:val="24"/>
                <w:highlight w:val="none"/>
              </w:rPr>
              <w:t>：</w:t>
            </w:r>
          </w:p>
          <w:p>
            <w:pPr>
              <w:pStyle w:val="16"/>
              <w:rPr>
                <w:color w:val="auto"/>
                <w:kern w:val="0"/>
                <w:sz w:val="24"/>
                <w:highlight w:val="none"/>
              </w:rPr>
            </w:pPr>
            <w:r>
              <w:rPr>
                <w:color w:val="auto"/>
                <w:highlight w:val="none"/>
              </w:rPr>
              <w:drawing>
                <wp:inline distT="0" distB="0" distL="114300" distR="114300">
                  <wp:extent cx="4953000" cy="3314700"/>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9" cstate="print"/>
                          <a:stretch>
                            <a:fillRect/>
                          </a:stretch>
                        </pic:blipFill>
                        <pic:spPr>
                          <a:xfrm>
                            <a:off x="0" y="0"/>
                            <a:ext cx="4953000" cy="3314700"/>
                          </a:xfrm>
                          <a:prstGeom prst="rect">
                            <a:avLst/>
                          </a:prstGeom>
                          <a:noFill/>
                          <a:ln>
                            <a:noFill/>
                          </a:ln>
                        </pic:spPr>
                      </pic:pic>
                    </a:graphicData>
                  </a:graphic>
                </wp:inline>
              </w:drawing>
            </w:r>
          </w:p>
          <w:p>
            <w:pPr>
              <w:jc w:val="center"/>
              <w:rPr>
                <w:color w:val="auto"/>
                <w:kern w:val="0"/>
                <w:sz w:val="24"/>
                <w:highlight w:val="none"/>
              </w:rPr>
            </w:pPr>
            <w:r>
              <w:rPr>
                <w:b/>
                <w:bCs/>
                <w:color w:val="auto"/>
                <w:szCs w:val="21"/>
                <w:highlight w:val="none"/>
              </w:rPr>
              <w:t>图2-1</w:t>
            </w:r>
            <w:r>
              <w:rPr>
                <w:rFonts w:hint="eastAsia"/>
                <w:b/>
                <w:bCs/>
                <w:color w:val="auto"/>
                <w:szCs w:val="21"/>
                <w:highlight w:val="none"/>
              </w:rPr>
              <w:t xml:space="preserve">  项目地理位置</w:t>
            </w:r>
            <w:r>
              <w:rPr>
                <w:b/>
                <w:bCs/>
                <w:color w:val="auto"/>
                <w:szCs w:val="21"/>
                <w:highlight w:val="none"/>
              </w:rPr>
              <w:t>图</w:t>
            </w:r>
          </w:p>
          <w:p>
            <w:pPr>
              <w:pStyle w:val="16"/>
              <w:rPr>
                <w:color w:val="auto"/>
                <w:kern w:val="0"/>
                <w:sz w:val="24"/>
                <w:highlight w:val="none"/>
              </w:rPr>
            </w:pPr>
          </w:p>
          <w:p>
            <w:pPr>
              <w:rPr>
                <w:color w:val="auto"/>
                <w:kern w:val="0"/>
                <w:sz w:val="24"/>
                <w:highlight w:val="none"/>
              </w:rPr>
            </w:pPr>
          </w:p>
          <w:p>
            <w:pPr>
              <w:pStyle w:val="16"/>
              <w:rPr>
                <w:color w:val="auto"/>
                <w:kern w:val="0"/>
                <w:sz w:val="24"/>
                <w:highlight w:val="none"/>
              </w:rPr>
            </w:pPr>
          </w:p>
          <w:p>
            <w:pPr>
              <w:rPr>
                <w:color w:val="auto"/>
                <w:kern w:val="0"/>
                <w:sz w:val="24"/>
                <w:highlight w:val="none"/>
              </w:rPr>
            </w:pPr>
          </w:p>
          <w:p>
            <w:pPr>
              <w:pStyle w:val="16"/>
              <w:rPr>
                <w:color w:val="auto"/>
                <w:kern w:val="0"/>
                <w:sz w:val="24"/>
                <w:highlight w:val="none"/>
              </w:rPr>
            </w:pPr>
          </w:p>
          <w:p>
            <w:pPr>
              <w:rPr>
                <w:color w:val="auto"/>
                <w:kern w:val="0"/>
                <w:sz w:val="24"/>
                <w:highlight w:val="none"/>
              </w:rPr>
            </w:pPr>
          </w:p>
          <w:p>
            <w:pPr>
              <w:pStyle w:val="16"/>
              <w:rPr>
                <w:color w:val="auto"/>
                <w:kern w:val="0"/>
                <w:sz w:val="24"/>
                <w:highlight w:val="none"/>
              </w:rPr>
            </w:pPr>
          </w:p>
          <w:p>
            <w:pPr>
              <w:rPr>
                <w:color w:val="auto"/>
                <w:kern w:val="0"/>
                <w:sz w:val="24"/>
                <w:highlight w:val="none"/>
              </w:rPr>
            </w:pPr>
          </w:p>
          <w:p>
            <w:pPr>
              <w:adjustRightInd w:val="0"/>
              <w:snapToGrid w:val="0"/>
              <w:spacing w:line="360" w:lineRule="auto"/>
              <w:rPr>
                <w:bCs/>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75" w:hRule="atLeast"/>
          <w:jc w:val="center"/>
        </w:trPr>
        <w:tc>
          <w:tcPr>
            <w:tcW w:w="426" w:type="dxa"/>
            <w:vAlign w:val="center"/>
          </w:tcPr>
          <w:p>
            <w:pPr>
              <w:pStyle w:val="15"/>
              <w:adjustRightInd w:val="0"/>
              <w:snapToGrid w:val="0"/>
              <w:spacing w:before="0" w:beforeAutospacing="0" w:after="0" w:afterAutospacing="0"/>
              <w:jc w:val="center"/>
              <w:rPr>
                <w:rFonts w:cs="宋体"/>
                <w:color w:val="auto"/>
                <w:sz w:val="21"/>
                <w:szCs w:val="21"/>
                <w:highlight w:val="none"/>
              </w:rPr>
            </w:pPr>
            <w:r>
              <w:rPr>
                <w:color w:val="auto"/>
                <w:sz w:val="21"/>
                <w:szCs w:val="21"/>
                <w:highlight w:val="none"/>
              </w:rPr>
              <w:t>项目组成及规模</w:t>
            </w:r>
          </w:p>
        </w:tc>
        <w:tc>
          <w:tcPr>
            <w:tcW w:w="8634" w:type="dxa"/>
          </w:tcPr>
          <w:p>
            <w:pPr>
              <w:spacing w:line="360" w:lineRule="auto"/>
              <w:ind w:firstLine="482" w:firstLineChars="200"/>
              <w:rPr>
                <w:bCs/>
                <w:color w:val="auto"/>
                <w:highlight w:val="none"/>
              </w:rPr>
            </w:pPr>
            <w:r>
              <w:rPr>
                <w:rFonts w:hint="eastAsia"/>
                <w:b/>
                <w:bCs/>
                <w:color w:val="auto"/>
                <w:sz w:val="24"/>
                <w:highlight w:val="none"/>
              </w:rPr>
              <w:t>一、项目由来</w:t>
            </w:r>
          </w:p>
          <w:p>
            <w:pPr>
              <w:pStyle w:val="23"/>
              <w:spacing w:line="360" w:lineRule="auto"/>
              <w:ind w:firstLine="480" w:firstLineChars="200"/>
              <w:rPr>
                <w:bCs/>
                <w:color w:val="auto"/>
                <w:kern w:val="2"/>
                <w:highlight w:val="none"/>
              </w:rPr>
            </w:pPr>
            <w:r>
              <w:rPr>
                <w:bCs/>
                <w:color w:val="auto"/>
                <w:kern w:val="2"/>
                <w:highlight w:val="none"/>
              </w:rPr>
              <w:t>苏州工业园区位于苏州古城区东部，以发达的高速公路、铁路、水路及航空网与世界各主要城市相连。轨道交通20分钟到达上海、60分钟到达南京，与沪、宁、杭融入同城轨道化生活。</w:t>
            </w:r>
          </w:p>
          <w:p>
            <w:pPr>
              <w:pStyle w:val="23"/>
              <w:spacing w:line="360" w:lineRule="auto"/>
              <w:ind w:firstLine="480" w:firstLineChars="200"/>
              <w:rPr>
                <w:bCs/>
                <w:color w:val="auto"/>
                <w:kern w:val="2"/>
                <w:highlight w:val="none"/>
              </w:rPr>
            </w:pPr>
            <w:r>
              <w:rPr>
                <w:bCs/>
                <w:color w:val="auto"/>
                <w:kern w:val="2"/>
                <w:highlight w:val="none"/>
              </w:rPr>
              <w:t>我国正处于经济提质增效、转型升级的关键时期，作为全国经济领军者的苏州工业园区也提出了自己的应对方案：《中国制造2025苏州实施纲要》提出苏州着力聚焦六大重点产业领域，引领全市制造业向中高端迈进2025年；园区《十三五规划纲要》则提出将园区建设成为“全球产业创新园区”和“国际商务宜居新城”，强化“园区智造”和“园区服务”。</w:t>
            </w:r>
          </w:p>
          <w:p>
            <w:pPr>
              <w:pStyle w:val="23"/>
              <w:spacing w:line="360" w:lineRule="auto"/>
              <w:ind w:firstLine="480" w:firstLineChars="200"/>
              <w:rPr>
                <w:bCs/>
                <w:color w:val="auto"/>
                <w:kern w:val="2"/>
                <w:highlight w:val="none"/>
              </w:rPr>
            </w:pPr>
            <w:r>
              <w:rPr>
                <w:bCs/>
                <w:color w:val="auto"/>
                <w:kern w:val="2"/>
                <w:highlight w:val="none"/>
              </w:rPr>
              <w:t>扬东路西延为东西向次干路，双向四车道，四幅路断面，是相城区、园区间重要的跨区集散次干道、相城区娄北片区出入通道、园区西北门户片区内部的东西向通道，同时也是东西向的非机动车通勤走廊、慢行休闲走廊。随着周边地块的开发建设，居民日益增长的交通出行便捷需求，扬东路西延的建设极为迫切。</w:t>
            </w:r>
          </w:p>
          <w:p>
            <w:pPr>
              <w:pStyle w:val="23"/>
              <w:spacing w:line="360" w:lineRule="auto"/>
              <w:ind w:firstLine="480" w:firstLineChars="200"/>
              <w:jc w:val="both"/>
              <w:rPr>
                <w:bCs/>
                <w:color w:val="auto"/>
                <w:highlight w:val="none"/>
              </w:rPr>
            </w:pPr>
            <w:r>
              <w:rPr>
                <w:bCs/>
                <w:color w:val="auto"/>
                <w:highlight w:val="none"/>
              </w:rPr>
              <w:t>根据《中华人民共和国环境保护法》、《中华人民共和国环境影响评价法》和《建设项目环境保护管理条例》（国务院第682号令）以及《建设项目环境影响评价分类管理名录》（2021年版）的有关要求，本项目属于</w:t>
            </w:r>
            <w:r>
              <w:rPr>
                <w:rFonts w:hint="eastAsia" w:ascii="宋体" w:hAnsi="宋体" w:cs="宋体"/>
                <w:bCs/>
                <w:color w:val="auto"/>
                <w:highlight w:val="none"/>
              </w:rPr>
              <w:t>“</w:t>
            </w:r>
            <w:r>
              <w:rPr>
                <w:bCs/>
                <w:color w:val="auto"/>
                <w:highlight w:val="none"/>
              </w:rPr>
              <w:t>五十二、交通运输业、管道运输业</w:t>
            </w:r>
            <w:r>
              <w:rPr>
                <w:rFonts w:hint="eastAsia"/>
                <w:bCs/>
                <w:color w:val="auto"/>
                <w:highlight w:val="none"/>
              </w:rPr>
              <w:t>”</w:t>
            </w:r>
            <w:r>
              <w:rPr>
                <w:bCs/>
                <w:color w:val="auto"/>
                <w:highlight w:val="none"/>
              </w:rPr>
              <w:t>中的</w:t>
            </w:r>
            <w:r>
              <w:rPr>
                <w:rFonts w:hint="eastAsia"/>
                <w:bCs/>
                <w:color w:val="auto"/>
                <w:highlight w:val="none"/>
              </w:rPr>
              <w:t>“</w:t>
            </w:r>
            <w:r>
              <w:rPr>
                <w:bCs/>
                <w:color w:val="auto"/>
                <w:highlight w:val="none"/>
              </w:rPr>
              <w:t>131城市道路（不含维护；不含支路、人行天桥、人行地道）</w:t>
            </w:r>
            <w:r>
              <w:rPr>
                <w:rFonts w:hint="eastAsia"/>
                <w:bCs/>
                <w:color w:val="auto"/>
                <w:highlight w:val="none"/>
              </w:rPr>
              <w:t>”</w:t>
            </w:r>
            <w:r>
              <w:rPr>
                <w:rFonts w:hint="eastAsia"/>
                <w:bCs/>
                <w:color w:val="auto"/>
                <w:highlight w:val="none"/>
                <w:lang w:val="en-US" w:eastAsia="zh-CN"/>
              </w:rPr>
              <w:t>和“130等级公路（不含维护；不含生命救援、应急保通工程以及国防交通保障项目；不含改扩建四级公路）”</w:t>
            </w:r>
            <w:r>
              <w:rPr>
                <w:bCs/>
                <w:color w:val="auto"/>
                <w:highlight w:val="none"/>
              </w:rPr>
              <w:t>，本</w:t>
            </w:r>
            <w:r>
              <w:rPr>
                <w:rFonts w:hint="eastAsia"/>
                <w:bCs/>
                <w:color w:val="auto"/>
                <w:highlight w:val="none"/>
              </w:rPr>
              <w:t>次</w:t>
            </w:r>
            <w:r>
              <w:rPr>
                <w:bCs/>
                <w:color w:val="auto"/>
                <w:highlight w:val="none"/>
              </w:rPr>
              <w:t>项目</w:t>
            </w:r>
            <w:r>
              <w:rPr>
                <w:rFonts w:hint="eastAsia"/>
                <w:bCs/>
                <w:color w:val="auto"/>
                <w:highlight w:val="none"/>
              </w:rPr>
              <w:t>道路为</w:t>
            </w:r>
            <w:r>
              <w:rPr>
                <w:rFonts w:hint="eastAsia"/>
                <w:bCs/>
                <w:color w:val="auto"/>
                <w:highlight w:val="none"/>
                <w:lang w:val="en-US" w:eastAsia="zh-CN"/>
              </w:rPr>
              <w:t>扬东路西延的新建道路</w:t>
            </w:r>
            <w:r>
              <w:rPr>
                <w:rFonts w:hint="eastAsia"/>
                <w:bCs/>
                <w:color w:val="auto"/>
                <w:highlight w:val="none"/>
              </w:rPr>
              <w:t>，包含城市桥梁建设，</w:t>
            </w:r>
            <w:r>
              <w:rPr>
                <w:rFonts w:hint="eastAsia"/>
                <w:bCs/>
                <w:color w:val="auto"/>
                <w:highlight w:val="none"/>
                <w:lang w:val="en-US" w:eastAsia="zh-CN"/>
              </w:rPr>
              <w:t>不涉及敏感区，</w:t>
            </w:r>
            <w:r>
              <w:rPr>
                <w:rFonts w:hint="eastAsia"/>
                <w:bCs/>
                <w:color w:val="auto"/>
                <w:highlight w:val="none"/>
              </w:rPr>
              <w:t>因此</w:t>
            </w:r>
            <w:r>
              <w:rPr>
                <w:bCs/>
                <w:color w:val="auto"/>
                <w:highlight w:val="none"/>
              </w:rPr>
              <w:t>本项目</w:t>
            </w:r>
            <w:r>
              <w:rPr>
                <w:rFonts w:hint="eastAsia"/>
                <w:bCs/>
                <w:color w:val="auto"/>
                <w:highlight w:val="none"/>
              </w:rPr>
              <w:t>需</w:t>
            </w:r>
            <w:r>
              <w:rPr>
                <w:bCs/>
                <w:color w:val="auto"/>
                <w:highlight w:val="none"/>
              </w:rPr>
              <w:t>编制环境影响报告表。</w:t>
            </w:r>
          </w:p>
          <w:p>
            <w:pPr>
              <w:adjustRightInd w:val="0"/>
              <w:snapToGrid w:val="0"/>
              <w:spacing w:line="360" w:lineRule="auto"/>
              <w:ind w:firstLine="482" w:firstLineChars="200"/>
              <w:rPr>
                <w:bCs/>
                <w:color w:val="auto"/>
                <w:sz w:val="24"/>
                <w:highlight w:val="none"/>
              </w:rPr>
            </w:pPr>
            <w:r>
              <w:rPr>
                <w:rFonts w:hint="eastAsia"/>
                <w:b/>
                <w:bCs/>
                <w:color w:val="auto"/>
                <w:sz w:val="24"/>
                <w:highlight w:val="none"/>
              </w:rPr>
              <w:t>二、</w:t>
            </w:r>
            <w:r>
              <w:rPr>
                <w:b/>
                <w:bCs/>
                <w:color w:val="auto"/>
                <w:sz w:val="24"/>
                <w:highlight w:val="none"/>
              </w:rPr>
              <w:t>项目组成及建设内容</w:t>
            </w:r>
          </w:p>
          <w:p>
            <w:pPr>
              <w:pStyle w:val="23"/>
              <w:spacing w:line="360" w:lineRule="auto"/>
              <w:ind w:firstLine="480" w:firstLineChars="200"/>
              <w:jc w:val="both"/>
              <w:rPr>
                <w:bCs/>
                <w:color w:val="auto"/>
                <w:highlight w:val="none"/>
              </w:rPr>
            </w:pPr>
            <w:r>
              <w:rPr>
                <w:rFonts w:hint="eastAsia"/>
                <w:bCs/>
                <w:color w:val="auto"/>
                <w:highlight w:val="none"/>
              </w:rPr>
              <w:t>1、项目组成</w:t>
            </w:r>
          </w:p>
          <w:p>
            <w:pPr>
              <w:pStyle w:val="23"/>
              <w:spacing w:line="360" w:lineRule="auto"/>
              <w:ind w:firstLine="480" w:firstLineChars="200"/>
              <w:jc w:val="both"/>
              <w:rPr>
                <w:bCs/>
                <w:color w:val="auto"/>
                <w:highlight w:val="none"/>
              </w:rPr>
            </w:pPr>
            <w:r>
              <w:rPr>
                <w:rFonts w:hint="eastAsia"/>
                <w:bCs/>
                <w:color w:val="auto"/>
                <w:highlight w:val="none"/>
              </w:rPr>
              <w:t>扬东路工程西起园区界外塘河，向东下穿苏嘉杭高速高架桥，东至扬帆路，路线全长约0.35km，其中扬帆路交叉口不在项目范围内。扬东路为区域东西向二级公路（兼城市次干路），道路标准断面32m，双向四车道。起点跨越外塘河</w:t>
            </w:r>
            <w:r>
              <w:rPr>
                <w:rFonts w:hint="eastAsia"/>
                <w:bCs/>
                <w:color w:val="auto"/>
                <w:highlight w:val="none"/>
                <w:lang w:eastAsia="zh-CN"/>
              </w:rPr>
              <w:t>（</w:t>
            </w:r>
            <w:r>
              <w:rPr>
                <w:rFonts w:hint="eastAsia"/>
                <w:bCs/>
                <w:color w:val="auto"/>
                <w:highlight w:val="none"/>
                <w:lang w:val="en-US" w:eastAsia="zh-CN"/>
              </w:rPr>
              <w:t>园区界）</w:t>
            </w:r>
            <w:r>
              <w:rPr>
                <w:rFonts w:hint="eastAsia"/>
                <w:bCs/>
                <w:color w:val="auto"/>
                <w:highlight w:val="none"/>
              </w:rPr>
              <w:t>，外塘河河道宽度约54m，桥梁跨径为2×20+35+2×25m，预制小箱梁+预制预应力板梁桥。预留南北向地下通道沟通两侧地块，总长为约34m，通道结构内尺寸为 10.6（宽）×4.2m（高）。</w:t>
            </w:r>
          </w:p>
          <w:p>
            <w:pPr>
              <w:pStyle w:val="23"/>
              <w:spacing w:line="360" w:lineRule="auto"/>
              <w:ind w:firstLine="480" w:firstLineChars="200"/>
              <w:jc w:val="both"/>
              <w:rPr>
                <w:bCs/>
                <w:color w:val="auto"/>
                <w:highlight w:val="none"/>
              </w:rPr>
            </w:pPr>
            <w:r>
              <w:rPr>
                <w:rFonts w:hint="eastAsia"/>
                <w:bCs/>
                <w:color w:val="auto"/>
                <w:highlight w:val="none"/>
              </w:rPr>
              <w:t>2、建设内容</w:t>
            </w:r>
          </w:p>
          <w:p>
            <w:pPr>
              <w:pStyle w:val="23"/>
              <w:spacing w:line="360" w:lineRule="auto"/>
              <w:ind w:firstLine="480" w:firstLineChars="200"/>
              <w:jc w:val="both"/>
              <w:rPr>
                <w:bCs/>
                <w:color w:val="auto"/>
                <w:highlight w:val="none"/>
              </w:rPr>
            </w:pPr>
            <w:r>
              <w:rPr>
                <w:rFonts w:hint="eastAsia"/>
                <w:bCs/>
                <w:color w:val="auto"/>
                <w:highlight w:val="none"/>
              </w:rPr>
              <w:t>建设内容包括道路、桥梁、下穿通道，以及沿线附属工程（排水工程、交通工程、管线综合、管线迁改、路灯、绿化等）。</w:t>
            </w:r>
          </w:p>
          <w:p>
            <w:pPr>
              <w:pStyle w:val="23"/>
              <w:spacing w:line="360" w:lineRule="auto"/>
              <w:ind w:firstLine="480" w:firstLineChars="200"/>
              <w:jc w:val="both"/>
              <w:rPr>
                <w:bCs/>
                <w:color w:val="auto"/>
                <w:highlight w:val="none"/>
              </w:rPr>
            </w:pPr>
            <w:r>
              <w:rPr>
                <w:rFonts w:hint="eastAsia"/>
                <w:bCs/>
                <w:color w:val="auto"/>
                <w:highlight w:val="none"/>
              </w:rPr>
              <w:t>3、功能定位及技术标准</w:t>
            </w:r>
          </w:p>
          <w:p>
            <w:pPr>
              <w:pStyle w:val="23"/>
              <w:spacing w:line="360" w:lineRule="auto"/>
              <w:ind w:firstLine="480" w:firstLineChars="200"/>
              <w:jc w:val="both"/>
              <w:rPr>
                <w:bCs/>
                <w:color w:val="auto"/>
                <w:highlight w:val="none"/>
              </w:rPr>
            </w:pPr>
            <w:r>
              <w:rPr>
                <w:rFonts w:hint="eastAsia"/>
                <w:bCs/>
                <w:color w:val="auto"/>
                <w:highlight w:val="none"/>
              </w:rPr>
              <w:t>（1）道路等级：二级公路（兼城市次干路）</w:t>
            </w:r>
          </w:p>
          <w:p>
            <w:pPr>
              <w:pStyle w:val="23"/>
              <w:spacing w:line="360" w:lineRule="auto"/>
              <w:ind w:firstLine="480" w:firstLineChars="200"/>
              <w:jc w:val="both"/>
              <w:rPr>
                <w:bCs/>
                <w:color w:val="auto"/>
                <w:highlight w:val="none"/>
              </w:rPr>
            </w:pPr>
            <w:r>
              <w:rPr>
                <w:rFonts w:hint="eastAsia"/>
                <w:bCs/>
                <w:color w:val="auto"/>
                <w:highlight w:val="none"/>
              </w:rPr>
              <w:t>（2）计算行车速度：40km/h</w:t>
            </w:r>
          </w:p>
          <w:p>
            <w:pPr>
              <w:pStyle w:val="23"/>
              <w:spacing w:line="360" w:lineRule="auto"/>
              <w:ind w:firstLine="480" w:firstLineChars="200"/>
              <w:jc w:val="both"/>
              <w:rPr>
                <w:bCs/>
                <w:color w:val="auto"/>
                <w:highlight w:val="none"/>
              </w:rPr>
            </w:pPr>
            <w:r>
              <w:rPr>
                <w:rFonts w:hint="eastAsia"/>
                <w:bCs/>
                <w:color w:val="auto"/>
                <w:highlight w:val="none"/>
              </w:rPr>
              <w:t>（3）车道规模：双向四车道</w:t>
            </w:r>
          </w:p>
          <w:p>
            <w:pPr>
              <w:pStyle w:val="23"/>
              <w:spacing w:line="360" w:lineRule="auto"/>
              <w:ind w:firstLine="480" w:firstLineChars="200"/>
              <w:jc w:val="both"/>
              <w:rPr>
                <w:bCs/>
                <w:color w:val="auto"/>
                <w:highlight w:val="none"/>
              </w:rPr>
            </w:pPr>
            <w:r>
              <w:rPr>
                <w:rFonts w:hint="eastAsia"/>
                <w:bCs/>
                <w:color w:val="auto"/>
                <w:highlight w:val="none"/>
              </w:rPr>
              <w:t>（4）路幅总宽：规划红线宽32m</w:t>
            </w:r>
          </w:p>
          <w:p>
            <w:pPr>
              <w:pStyle w:val="23"/>
              <w:spacing w:line="360" w:lineRule="auto"/>
              <w:ind w:firstLine="480" w:firstLineChars="200"/>
              <w:jc w:val="both"/>
              <w:rPr>
                <w:bCs/>
                <w:color w:val="auto"/>
                <w:highlight w:val="none"/>
              </w:rPr>
            </w:pPr>
            <w:r>
              <w:rPr>
                <w:rFonts w:hint="eastAsia"/>
                <w:bCs/>
                <w:color w:val="auto"/>
                <w:highlight w:val="none"/>
              </w:rPr>
              <w:t>（5）荷载等级：BZZ－100 型标准轴载</w:t>
            </w:r>
          </w:p>
          <w:p>
            <w:pPr>
              <w:pStyle w:val="23"/>
              <w:spacing w:line="360" w:lineRule="auto"/>
              <w:ind w:firstLine="480" w:firstLineChars="200"/>
              <w:jc w:val="both"/>
              <w:rPr>
                <w:bCs/>
                <w:color w:val="auto"/>
                <w:highlight w:val="none"/>
              </w:rPr>
            </w:pPr>
            <w:r>
              <w:rPr>
                <w:rFonts w:hint="eastAsia"/>
                <w:bCs/>
                <w:color w:val="auto"/>
                <w:highlight w:val="none"/>
              </w:rPr>
              <w:t>（6）净空：机动车道4.5m，人非2.5m</w:t>
            </w:r>
          </w:p>
          <w:p>
            <w:pPr>
              <w:pStyle w:val="23"/>
              <w:spacing w:line="400" w:lineRule="atLeast"/>
              <w:jc w:val="center"/>
              <w:rPr>
                <w:b/>
                <w:bCs/>
                <w:color w:val="auto"/>
                <w:sz w:val="21"/>
                <w:szCs w:val="21"/>
                <w:highlight w:val="none"/>
              </w:rPr>
            </w:pP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1635125</wp:posOffset>
                      </wp:positionH>
                      <wp:positionV relativeFrom="paragraph">
                        <wp:posOffset>879475</wp:posOffset>
                      </wp:positionV>
                      <wp:extent cx="807720" cy="258445"/>
                      <wp:effectExtent l="6350" t="6350" r="24130" b="20955"/>
                      <wp:wrapNone/>
                      <wp:docPr id="62" name="文本框 87"/>
                      <wp:cNvGraphicFramePr/>
                      <a:graphic xmlns:a="http://schemas.openxmlformats.org/drawingml/2006/main">
                        <a:graphicData uri="http://schemas.microsoft.com/office/word/2010/wordprocessingShape">
                          <wps:wsp>
                            <wps:cNvSpPr txBox="1"/>
                            <wps:spPr>
                              <a:xfrm>
                                <a:off x="0" y="0"/>
                                <a:ext cx="807720" cy="258445"/>
                              </a:xfrm>
                              <a:prstGeom prst="rect">
                                <a:avLst/>
                              </a:prstGeom>
                              <a:solidFill>
                                <a:srgbClr val="FFFFFF"/>
                              </a:solidFill>
                              <a:ln w="12700">
                                <a:solidFill>
                                  <a:srgbClr val="FF0000"/>
                                </a:solidFill>
                              </a:ln>
                              <a:effectLst/>
                            </wps:spPr>
                            <wps:txbx>
                              <w:txbxContent>
                                <w:p>
                                  <w:pPr>
                                    <w:rPr>
                                      <w:color w:val="FF0000"/>
                                    </w:rPr>
                                  </w:pPr>
                                  <w:r>
                                    <w:rPr>
                                      <w:rFonts w:hint="eastAsia"/>
                                      <w:color w:val="FF0000"/>
                                    </w:rPr>
                                    <w:t>工程位置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7" o:spid="_x0000_s1026" o:spt="202" type="#_x0000_t202" style="position:absolute;left:0pt;margin-left:128.75pt;margin-top:69.25pt;height:20.35pt;width:63.6pt;z-index:251661312;mso-width-relative:page;mso-height-relative:page;" fillcolor="#FFFFFF" filled="t" stroked="t" coordsize="21600,21600" o:gfxdata="UEsDBAoAAAAAAIdO4kAAAAAAAAAAAAAAAAAEAAAAZHJzL1BLAwQUAAAACACHTuJAhYQT9tsAAAAL&#10;AQAADwAAAGRycy9kb3ducmV2LnhtbE2PW0vDQBCF3wX/wzKCL6XdNLHmYjZFBAWhCm0FX7fZMQnJ&#10;zobs9uK/d3zSt5k5hzPfKdcXO4gTTr5zpGC5iEAg1c501Cj42D/PMxA+aDJ6cIQKvtHDurq+KnVh&#10;3Jm2eNqFRnAI+UIraEMYCyl93aLVfuFGJNa+3GR14HVqpJn0mcPtIOMoupdWd8QfWj3iU4t1vzta&#10;BXb7nr+N9Szp+41/df7RzF4+c6Vub5bRA4iAl/Bnhl98RoeKmQ7uSMaLQUG8SldsZSHJeGBHkt2l&#10;IA58SfMYZFXK/x2qH1BLAwQUAAAACACHTuJAOPhDtFwCAADIBAAADgAAAGRycy9lMm9Eb2MueG1s&#10;rVTNjtMwEL4j8Q6W7zRp1d2Wqumq7KoIacWutCDOruM0lmyPsd0m5QHgDThx4c5z9TkYO2n3j8Me&#10;yMEZeybfzHz+JvOLViuyE85LMAUdDnJKhOFQSrMp6OdPqzdTSnxgpmQKjCjoXnh6sXj9at7YmRhB&#10;DaoUjiCI8bPGFrQOwc6yzPNaaOYHYIVBZwVOs4Bbt8lKxxpE1yob5fl51oArrQMuvMfTq85Je0T3&#10;EkCoKsnFFfCtFiZ0qE4oFrAlX0vr6SJVW1WCh5uq8iIQVVDsNKQVk6C9jmu2mLPZxjFbS96XwF5S&#10;wpOeNJMGk56grlhgZOvkMygtuQMPVRhw0FnXSGIEuxjmT7i5q5kVqRek2tsT6f7/wfKPu1tHZFnQ&#10;8xElhmm88cPPH4dffw6/v5PpJBLUWD/DuDuLkaF9By3K5nju8TD23VZOxzd2RNCP9O5P9Io2EI6H&#10;03wyGaGHo2t0Nh2PzyJKdv+xdT68F6BJNArq8PYSqWx37UMXegyJuTwoWa6kUmnjNutL5ciO4U2v&#10;0tOjPwpThjRY/miS5wn6kdM/xsjxeY6B9SoTM4okr76yyFHHRbRCu2574tZQ7pE3B530vOUrid1d&#10;Mx9umUOtISE4jeEGl0oBFge9RUkN7tu/zmM8SgC9lDSo3YL6r1vmBCXqg0FxvB2Oxwgb0mZ8lkh3&#10;Dz3rhx6z1ZeApA1x7i1PJn7sgjqalQP9BYd2GbOiixmOuQsajuZl6CYKh56L5TIFobwtC9fmzvII&#10;HQkzsNwGqGS6ykhTxw1KIG5Q4EkM/TDGCXq4T1H3P6DF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WEE/bbAAAACwEAAA8AAAAAAAAAAQAgAAAAIgAAAGRycy9kb3ducmV2LnhtbFBLAQIUABQAAAAI&#10;AIdO4kA4+EO0XAIAAMgEAAAOAAAAAAAAAAEAIAAAACoBAABkcnMvZTJvRG9jLnhtbFBLBQYAAAAA&#10;BgAGAFkBAAD4BQAAAAA=&#10;">
                      <v:fill on="t" focussize="0,0"/>
                      <v:stroke weight="1pt" color="#FF0000" joinstyle="round"/>
                      <v:imagedata o:title=""/>
                      <o:lock v:ext="edit" aspectratio="f"/>
                      <v:textbox>
                        <w:txbxContent>
                          <w:p>
                            <w:pPr>
                              <w:rPr>
                                <w:color w:val="FF0000"/>
                              </w:rPr>
                            </w:pPr>
                            <w:r>
                              <w:rPr>
                                <w:rFonts w:hint="eastAsia"/>
                                <w:color w:val="FF0000"/>
                              </w:rPr>
                              <w:t>工程位置</w:t>
                            </w:r>
                          </w:p>
                        </w:txbxContent>
                      </v:textbox>
                    </v:shape>
                  </w:pict>
                </mc:Fallback>
              </mc:AlternateContent>
            </w:r>
            <w:r>
              <w:rPr>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1996440</wp:posOffset>
                      </wp:positionH>
                      <wp:positionV relativeFrom="paragraph">
                        <wp:posOffset>1517015</wp:posOffset>
                      </wp:positionV>
                      <wp:extent cx="34290" cy="251460"/>
                      <wp:effectExtent l="19050" t="2540" r="22860" b="12700"/>
                      <wp:wrapNone/>
                      <wp:docPr id="6" name="直接连接符 6"/>
                      <wp:cNvGraphicFramePr/>
                      <a:graphic xmlns:a="http://schemas.openxmlformats.org/drawingml/2006/main">
                        <a:graphicData uri="http://schemas.microsoft.com/office/word/2010/wordprocessingShape">
                          <wps:wsp>
                            <wps:cNvCnPr/>
                            <wps:spPr>
                              <a:xfrm>
                                <a:off x="2901315" y="5328920"/>
                                <a:ext cx="34290" cy="251460"/>
                              </a:xfrm>
                              <a:prstGeom prst="line">
                                <a:avLst/>
                              </a:prstGeom>
                              <a:noFill/>
                              <a:ln w="38100" cap="flat" cmpd="sng" algn="ctr">
                                <a:solidFill>
                                  <a:srgbClr val="FFC000"/>
                                </a:solidFill>
                                <a:prstDash val="solid"/>
                                <a:miter lim="800000"/>
                              </a:ln>
                              <a:effectLst/>
                            </wps:spPr>
                            <wps:bodyPr/>
                          </wps:wsp>
                        </a:graphicData>
                      </a:graphic>
                    </wp:anchor>
                  </w:drawing>
                </mc:Choice>
                <mc:Fallback>
                  <w:pict>
                    <v:line id="_x0000_s1026" o:spid="_x0000_s1026" o:spt="20" style="position:absolute;left:0pt;margin-left:157.2pt;margin-top:119.45pt;height:19.8pt;width:2.7pt;z-index:251664384;mso-width-relative:page;mso-height-relative:page;" filled="f" stroked="t" coordsize="21600,21600" o:gfxdata="UEsDBAoAAAAAAIdO4kAAAAAAAAAAAAAAAAAEAAAAZHJzL1BLAwQUAAAACACHTuJATcAH3tcAAAAL&#10;AQAADwAAAGRycy9kb3ducmV2LnhtbE2PPW+DMBCG90r9D9ZV6tbYhDQFgomqShk6llSdDb4CCraR&#10;7RD4971O7XjvPXo/yuNiRjajD4OzEpKNAIa2dXqwnYTP8+kpAxaislqNzqKEFQMcq/u7UhXa3ewH&#10;znXsGJnYUCgJfYxTwXloezQqbNyEln7fzhsV6fQd117dyNyMfCvEnhs1WEro1YRvPbaX+mood+bN&#10;mubrCb8WYeo97/x7+yrl40MiDsAiLvEPht/6VB0q6tS4q9WBjRLSZLcjVMI2zXJgRKRJTmMaUl6y&#10;Z+BVyf9vqH4AUEsDBBQAAAAIAIdO4kDALBpr+gEAAM8DAAAOAAAAZHJzL2Uyb0RvYy54bWytU0uO&#10;EzEQ3SNxB8t70p9MokwrnVkkChsEIwEHcNzubkv+yeVJJ5fgAkjsYMWSPbdhOAZldxOGYTMLNu6q&#10;rvIrv+fn9c1JK3IUHqQ1NS1mOSXCcNtI09X0/bv9ixUlEJhpmLJG1PQsgN5snj9bD64Spe2taoQn&#10;CGKgGlxN+xBclWXAe6EZzKwTBout9ZoFTH2XNZ4NiK5VVub5Mhusb5y3XADg391YpBOifwqgbVvJ&#10;xc7yOy1MGFG9UCwgJeilA7pJp21bwcObtgURiKopMg1pxSEYH+Kabdas6jxzveTTEdhTjvCIk2bS&#10;4NAL1I4FRu68/AdKS+4t2DbMuNXZSCQpgiyK/JE2b3vmROKCUoO7iA7/D5a/Pt56IpuaLikxTOOF&#10;33/89uPD55/fP+F6//ULWUaRBgcV9m7NrZ8ycLc+Mj61XscvciGnmpbXeTEvFpSca7qYl6vrchJZ&#10;nALh2DC/whZKONbLRXG1TOXsD47zEF4Kq0kMaqqkiRKwih1fQcDZ2Pq7Jf42di+VSteoDBkQf1Xk&#10;EZ+hN1v0BIbaIT8wHSVMdWh6HnyCBKtkE7dHIPDdYas8OTK0yn6/zRFlHPdXW5y9Y9CPfak0mkjL&#10;gO9CSV3TFe697FYmoovkxYlBFHOUL0YH25yTqlnM8J4Tx8mT0UgPc4wfvsP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3AB97XAAAACwEAAA8AAAAAAAAAAQAgAAAAIgAAAGRycy9kb3ducmV2Lnht&#10;bFBLAQIUABQAAAAIAIdO4kDALBpr+gEAAM8DAAAOAAAAAAAAAAEAIAAAACYBAABkcnMvZTJvRG9j&#10;LnhtbFBLBQYAAAAABgAGAFkBAACSBQAAAAA=&#10;">
                      <v:fill on="f" focussize="0,0"/>
                      <v:stroke weight="3pt" color="#FFC000" miterlimit="8" joinstyle="miter"/>
                      <v:imagedata o:title=""/>
                      <o:lock v:ext="edit" aspectratio="f"/>
                    </v:line>
                  </w:pict>
                </mc:Fallback>
              </mc:AlternateContent>
            </w: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2039620</wp:posOffset>
                      </wp:positionH>
                      <wp:positionV relativeFrom="paragraph">
                        <wp:posOffset>1837055</wp:posOffset>
                      </wp:positionV>
                      <wp:extent cx="34290" cy="259715"/>
                      <wp:effectExtent l="38735" t="0" r="41275" b="6985"/>
                      <wp:wrapNone/>
                      <wp:docPr id="10" name="自选图形 7"/>
                      <wp:cNvGraphicFramePr/>
                      <a:graphic xmlns:a="http://schemas.openxmlformats.org/drawingml/2006/main">
                        <a:graphicData uri="http://schemas.microsoft.com/office/word/2010/wordprocessingShape">
                          <wps:wsp>
                            <wps:cNvCnPr/>
                            <wps:spPr>
                              <a:xfrm flipH="1" flipV="1">
                                <a:off x="0" y="0"/>
                                <a:ext cx="34290" cy="259715"/>
                              </a:xfrm>
                              <a:prstGeom prst="straightConnector1">
                                <a:avLst/>
                              </a:prstGeom>
                              <a:ln w="12700" cap="flat" cmpd="sng">
                                <a:solidFill>
                                  <a:srgbClr val="FF0000"/>
                                </a:solidFill>
                                <a:prstDash val="solid"/>
                                <a:miter/>
                                <a:headEnd type="none" w="med" len="med"/>
                                <a:tailEnd type="arrow" w="med" len="med"/>
                              </a:ln>
                              <a:effectLst/>
                            </wps:spPr>
                            <wps:bodyPr/>
                          </wps:wsp>
                        </a:graphicData>
                      </a:graphic>
                    </wp:anchor>
                  </w:drawing>
                </mc:Choice>
                <mc:Fallback>
                  <w:pict>
                    <v:shape id="自选图形 7" o:spid="_x0000_s1026" o:spt="32" type="#_x0000_t32" style="position:absolute;left:0pt;flip:x y;margin-left:160.6pt;margin-top:144.65pt;height:20.45pt;width:2.7pt;z-index:251666432;mso-width-relative:page;mso-height-relative:page;" filled="f" stroked="t" coordsize="21600,21600" o:gfxdata="UEsDBAoAAAAAAIdO4kAAAAAAAAAAAAAAAAAEAAAAZHJzL1BLAwQUAAAACACHTuJADVv+htgAAAAL&#10;AQAADwAAAGRycy9kb3ducmV2LnhtbE2PQWrDMBBF94XcQUygu0ayTE3sWM6iUDDdNc4BFEuyTayR&#10;kRQnuX3VVbubYR5/3q+PDzuTVfswORSQ7RgQjb1TEw4Czt3n2x5IiBKVnB1qAU8d4NhsXmpZKXfH&#10;b72e4kBSCIZKChhjXCpKQz9qK8POLRrTzThvZUyrH6jy8p7C7Uw5YwW1csL0YZSL/hh1fz3drIBy&#10;Mci7zuTr9WzezdezLX3bCvG6zdgBSNSP+AfDr35ShyY5XdwNVSCzgJxnPKEC+L7MgSQi50UB5JKG&#10;nHGgTU3/d2h+AFBLAwQUAAAACACHTuJAiJzIVxUCAAAVBAAADgAAAGRycy9lMm9Eb2MueG1srVPN&#10;jtMwEL4j8Q6W7zRpYVk2arqHlsIBQSV+7lPHaSz5Tx5v0964IZ6BG0feAd5mJXgLxk4oy8JhD+QQ&#10;jT0z38z3zXh+eTCa7WVA5WzNp5OSM2mFa5Td1fztm/WDJ5xhBNuAdlbW/CiRXy7u35v3vpIz1znd&#10;yMAIxGLV+5p3MfqqKFB00gBOnJeWnK0LBiIdw65oAvSEbnQxK8vHRe9C44MTEpFuV4OTj4jhLoCu&#10;bZWQKyeujLRxQA1SQyRK2CmPfJG7bVsp4qu2RRmZrjkxjflPRcjepn+xmEO1C+A7JcYW4C4t3OJk&#10;QFkqeoJaQQR2FdRfUEaJ4NC1cSKcKQYiWRFiMS1vafO6Ay8zF5Ia/Ul0/H+w4uV+E5hqaBNIEguG&#10;Jv79w5cf7z9ef/p2/fUzO08S9R4rilzaTRhP6Dch8T20wbBWK/+cEHi23iUr+YgdO2Spjyep5SEy&#10;QZcPH80uqKAgz+zs4nx6lsoUA17K9QHjM+kMS0bNMQZQuy4unbU0UxeGCrB/gXFI/JWQkrVlPTUx&#10;Oy9TCaAlbWk5yDSeiKLd5fbQadWsldYpBcNuu9SB7YEWZb0u6Rs7+iMsVVkBdkNcdqUwqIyKMmkD&#10;VSeheWobFo+etLT0hnjqxsiGMy3pySUrR0ZQ+nckhOD6f4eSLtombJk3euSchjKMIVlb1xzzdIp0&#10;om3Jco6bndbx5pnsm695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W/6G2AAAAAsBAAAPAAAA&#10;AAAAAAEAIAAAACIAAABkcnMvZG93bnJldi54bWxQSwECFAAUAAAACACHTuJAiJzIVxUCAAAVBAAA&#10;DgAAAAAAAAABACAAAAAnAQAAZHJzL2Uyb0RvYy54bWxQSwUGAAAAAAYABgBZAQAArgUAAAAA&#10;">
                      <v:fill on="f" focussize="0,0"/>
                      <v:stroke weight="1pt" color="#FF0000" joinstyle="miter" endarrow="open"/>
                      <v:imagedata o:title=""/>
                      <o:lock v:ext="edit" aspectratio="f"/>
                    </v:shape>
                  </w:pict>
                </mc:Fallback>
              </mc:AlternateContent>
            </w:r>
            <w:r>
              <w:rPr>
                <w:rFonts w:hint="eastAsia"/>
                <w:b/>
                <w:bCs/>
                <w:color w:val="auto"/>
                <w:sz w:val="21"/>
                <w:szCs w:val="21"/>
                <w:highlight w:val="none"/>
              </w:rPr>
              <w:drawing>
                <wp:inline distT="0" distB="0" distL="114300" distR="114300">
                  <wp:extent cx="5344160" cy="3473450"/>
                  <wp:effectExtent l="0" t="0" r="8890" b="12700"/>
                  <wp:docPr id="1" name="图片 1" descr="171271332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2713321019"/>
                          <pic:cNvPicPr>
                            <a:picLocks noChangeAspect="1"/>
                          </pic:cNvPicPr>
                        </pic:nvPicPr>
                        <pic:blipFill>
                          <a:blip r:embed="rId10" cstate="print"/>
                          <a:stretch>
                            <a:fillRect/>
                          </a:stretch>
                        </pic:blipFill>
                        <pic:spPr>
                          <a:xfrm>
                            <a:off x="0" y="0"/>
                            <a:ext cx="5344160" cy="3473450"/>
                          </a:xfrm>
                          <a:prstGeom prst="rect">
                            <a:avLst/>
                          </a:prstGeom>
                        </pic:spPr>
                      </pic:pic>
                    </a:graphicData>
                  </a:graphic>
                </wp:inline>
              </w:drawing>
            </w: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2065020</wp:posOffset>
                      </wp:positionH>
                      <wp:positionV relativeFrom="paragraph">
                        <wp:posOffset>2096770</wp:posOffset>
                      </wp:positionV>
                      <wp:extent cx="1267460" cy="258445"/>
                      <wp:effectExtent l="6350" t="6350" r="21590" b="20955"/>
                      <wp:wrapNone/>
                      <wp:docPr id="8" name="文本框 87"/>
                      <wp:cNvGraphicFramePr/>
                      <a:graphic xmlns:a="http://schemas.openxmlformats.org/drawingml/2006/main">
                        <a:graphicData uri="http://schemas.microsoft.com/office/word/2010/wordprocessingShape">
                          <wps:wsp>
                            <wps:cNvSpPr txBox="1"/>
                            <wps:spPr>
                              <a:xfrm>
                                <a:off x="0" y="0"/>
                                <a:ext cx="1267460" cy="258445"/>
                              </a:xfrm>
                              <a:prstGeom prst="rect">
                                <a:avLst/>
                              </a:prstGeom>
                              <a:solidFill>
                                <a:srgbClr val="FFFFFF"/>
                              </a:solidFill>
                              <a:ln w="12700">
                                <a:solidFill>
                                  <a:srgbClr val="FF0000"/>
                                </a:solidFill>
                              </a:ln>
                              <a:effectLst/>
                            </wps:spPr>
                            <wps:txbx>
                              <w:txbxContent>
                                <w:p>
                                  <w:pPr>
                                    <w:rPr>
                                      <w:color w:val="FF0000"/>
                                    </w:rPr>
                                  </w:pPr>
                                  <w:r>
                                    <w:rPr>
                                      <w:rFonts w:hint="eastAsia"/>
                                      <w:color w:val="FF0000"/>
                                    </w:rPr>
                                    <w:t>预留地下联络通道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7" o:spid="_x0000_s1026" o:spt="202" type="#_x0000_t202" style="position:absolute;left:0pt;margin-left:162.6pt;margin-top:165.1pt;height:20.35pt;width:99.8pt;z-index:251665408;mso-width-relative:page;mso-height-relative:page;" fillcolor="#FFFFFF" filled="t" stroked="t" coordsize="21600,21600" o:gfxdata="UEsDBAoAAAAAAIdO4kAAAAAAAAAAAAAAAAAEAAAAZHJzL1BLAwQUAAAACACHTuJAYkBQqtsAAAAL&#10;AQAADwAAAGRycy9kb3ducmV2LnhtbE2PT0vDQBDF70K/wzIFL8XuNrHaxGyKCApCFVqFXrfZMQnJ&#10;zobs9o/f3vGktzczjze/V6wvrhcnHEPrScNirkAgVd62VGv4/Hi+WYEI0ZA1vSfU8I0B1uXkqjC5&#10;9Wfa4mkXa8EhFHKjoYlxyKUMVYPOhLkfkPj25UdnIo9jLe1ozhzuepkodSedaYk/NGbApwarbnd0&#10;Gtz2PXsbqlnadZvw6sOjnb3sM62vpwv1ACLiJf6Z4Ref0aFkpoM/kg2i15Amy4StLFLFgh3L5JbL&#10;HHhzrzKQZSH/dyh/AFBLAwQUAAAACACHTuJAmsnKolwCAADIBAAADgAAAGRycy9lMm9Eb2MueG1s&#10;rVTBbtswDL0P2D8Iui92grTJgjpF1iLDgGAt0A07K7IcC5BETVJiZx+w/cFOu+y+7+p3jJKdNml3&#10;6GE+OKRIP5JPj7m4bLUiO+G8BFPQ4SCnRBgOpTSbgn7+tHwzpcQHZkqmwIiC7oWnl/PXry4aOxMj&#10;qEGVwhEEMX7W2ILWIdhZlnleC838AKwwGKzAaRbQdZusdKxBdK2yUZ6fZw240jrgwns8ve6CtEd0&#10;LwGEqpJcXAPfamFCh+qEYgFH8rW0ns5Tt1UleLipKi8CUQXFSUN6YxG01/GdzS/YbOOYrSXvW2Av&#10;aeHJTJpJg0UfoK5ZYGTr5DMoLbkDD1UYcNBZN0hiBKcY5k+4uauZFWkWpNrbB9L9/4PlH3e3jsiy&#10;oHjthmm88PufP+5//bn//Z1MJ5GfxvoZpt1ZTAztO2hRNYdzj4dx7LZyOv7iQATjyO7+gV3RBsLj&#10;R6PzyfgcQxxjo7PpeHwWYbLHr63z4b0ATaJRUIe3l0hlu5UPXeohJRbzoGS5lEolx23WV8qRHcOb&#10;XqanRz9JU4Y0sZVJnifok6A/xcjxeY6B/SoTK4okr76zSFJHRrRCu2575tZQ7pE4B530vOVLidOt&#10;mA+3zKHWkBDcxnCDr0oBNge9RUkN7tu/zmM+SgCjlDSo3YL6r1vmBCXqg0FxvB2OxwgbkjM+m4zQ&#10;cceR9XHEbPUVIGlD3HvLkxnzgzqYlQP9BZd2EatiiBmOtQsaDuZV6DYKl56LxSIlobwtCytzZ3mE&#10;joQZWGwDVDJdZaSp4wYlEB0UeBJDv4xxg479lPX4BzT/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JAUKrbAAAACwEAAA8AAAAAAAAAAQAgAAAAIgAAAGRycy9kb3ducmV2LnhtbFBLAQIUABQAAAAI&#10;AIdO4kCaycqiXAIAAMgEAAAOAAAAAAAAAAEAIAAAACoBAABkcnMvZTJvRG9jLnhtbFBLBQYAAAAA&#10;BgAGAFkBAAD4BQAAAAA=&#10;">
                      <v:fill on="t" focussize="0,0"/>
                      <v:stroke weight="1pt" color="#FF0000" joinstyle="round"/>
                      <v:imagedata o:title=""/>
                      <o:lock v:ext="edit" aspectratio="f"/>
                      <v:textbox>
                        <w:txbxContent>
                          <w:p>
                            <w:pPr>
                              <w:rPr>
                                <w:color w:val="FF0000"/>
                              </w:rPr>
                            </w:pPr>
                            <w:r>
                              <w:rPr>
                                <w:rFonts w:hint="eastAsia"/>
                                <w:color w:val="FF0000"/>
                              </w:rPr>
                              <w:t>预留地下联络通道</w:t>
                            </w:r>
                          </w:p>
                        </w:txbxContent>
                      </v:textbox>
                    </v:shape>
                  </w:pict>
                </mc:Fallback>
              </mc:AlternateContent>
            </w: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1485265</wp:posOffset>
                      </wp:positionH>
                      <wp:positionV relativeFrom="paragraph">
                        <wp:posOffset>1603375</wp:posOffset>
                      </wp:positionV>
                      <wp:extent cx="762000" cy="112395"/>
                      <wp:effectExtent l="6350" t="43815" r="12700" b="53340"/>
                      <wp:wrapNone/>
                      <wp:docPr id="4" name="直接连接符 4"/>
                      <wp:cNvGraphicFramePr/>
                      <a:graphic xmlns:a="http://schemas.openxmlformats.org/drawingml/2006/main">
                        <a:graphicData uri="http://schemas.microsoft.com/office/word/2010/wordprocessingShape">
                          <wps:wsp>
                            <wps:cNvCnPr/>
                            <wps:spPr>
                              <a:xfrm flipV="1">
                                <a:off x="2727960" y="5476240"/>
                                <a:ext cx="762000" cy="112395"/>
                              </a:xfrm>
                              <a:prstGeom prst="line">
                                <a:avLst/>
                              </a:prstGeom>
                              <a:noFill/>
                              <a:ln w="88900" cap="flat" cmpd="sng" algn="ctr">
                                <a:solidFill>
                                  <a:srgbClr val="FF0000"/>
                                </a:solidFill>
                                <a:prstDash val="solid"/>
                                <a:miter lim="800000"/>
                              </a:ln>
                              <a:effectLst/>
                            </wps:spPr>
                            <wps:bodyPr/>
                          </wps:wsp>
                        </a:graphicData>
                      </a:graphic>
                    </wp:anchor>
                  </w:drawing>
                </mc:Choice>
                <mc:Fallback>
                  <w:pict>
                    <v:line id="_x0000_s1026" o:spid="_x0000_s1026" o:spt="20" style="position:absolute;left:0pt;flip:y;margin-left:116.95pt;margin-top:126.25pt;height:8.85pt;width:60pt;z-index:251663360;mso-width-relative:page;mso-height-relative:page;" filled="f" stroked="t" coordsize="21600,21600" o:gfxdata="UEsDBAoAAAAAAIdO4kAAAAAAAAAAAAAAAAAEAAAAZHJzL1BLAwQUAAAACACHTuJAMloMedsAAAAL&#10;AQAADwAAAGRycy9kb3ducmV2LnhtbE2PQU/DMAyF70j8h8hI3FiyVmVbaboDCAGCCwMxcUsb0xYa&#10;p2qyrfDr8U5ws997ev5crCfXiz2OofOkYT5TIJBqbztqNLy+3F4sQYRoyJreE2r4xgDr8vSkMLn1&#10;B3rG/SY2gkso5EZDG+OQSxnqFp0JMz8gsffhR2cir2Mj7WgOXO56mSh1KZ3piC+0ZsDrFuuvzc5p&#10;uMl+tu5p2b2ttvdygZ/vj3fTQ6X1+dlcXYGIOMW/MBzxGR1KZqr8jmwQvYYkTVcc5SFLMhCcSLOj&#10;UrGyUAnIspD/fyh/AVBLAwQUAAAACACHTuJAQK1++gQCAADaAwAADgAAAGRycy9lMm9Eb2MueG1s&#10;rVO9btswEN4L9B0I7rVk1fGPYDlDDHcpWgNts9MUJRHgH3iMZb9EX6BAt3bq2L1v0/QxeqSUIEmX&#10;DF2II3n33X0fP64vT1qRo/AgranodJJTIgy3tTRtRT993L1aUgKBmZopa0RFzwLo5ebli3XvSlHY&#10;zqpaeIIgBsreVbQLwZVZBrwTmsHEOmHwsrFes4Bb32a1Zz2ia5UVeT7Peutr5y0XAHi6HS7piOif&#10;A2ibRnKxtfxGCxMGVC8UC0gJOumAbtK0TSN4eN80IAJRFUWmIa3YBONDXLPNmpWtZ66TfByBPWeE&#10;J5w0kwab3kNtWWDkxst/oLTk3oJtwoRbnQ1EkiLIYpo/0eZDx5xIXFBqcPeiw/+D5e+Oe09kXdEZ&#10;JYZpfPDbLz9/f/7259dXXG9/fCezKFLvoMTcK7P34w7c3kfGp8Zr0ijprtFNSQNkRU4VLRbFYjVH&#10;oc8VvZgt5sVslFucAuGYgEd5jvccE6bT4vXqInbKBsgI7TyEN8JqEoOKKmmiGqxkx7cQhtS7lHhs&#10;7E4qheesVIb0FV0uVwmfoU0btAe20g6pgmkpYapF//PgEyRYJetYHqvBt4cr5cmRoWt2OxwyTY6T&#10;PUqLvbcMuiEvXQ1+0jLgF1FS4wix+K5amYguki1HBlHXQckYHWx9TgJncYdPnuQY7Rk99XCP8cMv&#10;uf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loMedsAAAALAQAADwAAAAAAAAABACAAAAAiAAAA&#10;ZHJzL2Rvd25yZXYueG1sUEsBAhQAFAAAAAgAh07iQECtfvoEAgAA2gMAAA4AAAAAAAAAAQAgAAAA&#10;KgEAAGRycy9lMm9Eb2MueG1sUEsFBgAAAAAGAAYAWQEAAKAFAAAAAA==&#10;">
                      <v:fill on="f" focussize="0,0"/>
                      <v:stroke weight="7pt" color="#FF0000" miterlimit="8" joinstyle="miter"/>
                      <v:imagedata o:title=""/>
                      <o:lock v:ext="edit" aspectratio="f"/>
                    </v:line>
                  </w:pict>
                </mc:Fallback>
              </mc:AlternateContent>
            </w: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1710690</wp:posOffset>
                      </wp:positionH>
                      <wp:positionV relativeFrom="paragraph">
                        <wp:posOffset>1153160</wp:posOffset>
                      </wp:positionV>
                      <wp:extent cx="172720" cy="484505"/>
                      <wp:effectExtent l="18415" t="1905" r="18415" b="8890"/>
                      <wp:wrapNone/>
                      <wp:docPr id="63" name="自选图形 7"/>
                      <wp:cNvGraphicFramePr/>
                      <a:graphic xmlns:a="http://schemas.openxmlformats.org/drawingml/2006/main">
                        <a:graphicData uri="http://schemas.microsoft.com/office/word/2010/wordprocessingShape">
                          <wps:wsp>
                            <wps:cNvCnPr/>
                            <wps:spPr>
                              <a:xfrm flipH="1">
                                <a:off x="0" y="0"/>
                                <a:ext cx="172720" cy="484505"/>
                              </a:xfrm>
                              <a:prstGeom prst="straightConnector1">
                                <a:avLst/>
                              </a:prstGeom>
                              <a:ln w="12700" cap="flat" cmpd="sng">
                                <a:solidFill>
                                  <a:srgbClr val="FF0000"/>
                                </a:solidFill>
                                <a:prstDash val="solid"/>
                                <a:miter/>
                                <a:headEnd type="none" w="med" len="med"/>
                                <a:tailEnd type="arrow" w="med" len="med"/>
                              </a:ln>
                              <a:effectLst/>
                            </wps:spPr>
                            <wps:bodyPr/>
                          </wps:wsp>
                        </a:graphicData>
                      </a:graphic>
                    </wp:anchor>
                  </w:drawing>
                </mc:Choice>
                <mc:Fallback>
                  <w:pict>
                    <v:shape id="自选图形 7" o:spid="_x0000_s1026" o:spt="32" type="#_x0000_t32" style="position:absolute;left:0pt;flip:x;margin-left:134.7pt;margin-top:90.8pt;height:38.15pt;width:13.6pt;z-index:251662336;mso-width-relative:page;mso-height-relative:page;" filled="f" stroked="t" coordsize="21600,21600" o:gfxdata="UEsDBAoAAAAAAIdO4kAAAAAAAAAAAAAAAAAEAAAAZHJzL1BLAwQUAAAACACHTuJAYzGHtNcAAAAL&#10;AQAADwAAAGRycy9kb3ducmV2LnhtbE2PwU7DMBBE70j8g7VI3KidiIYkxOmhElyQkCiIsxtv40C8&#10;DrHTlr9nOcFtVvM0O9Nszn4UR5zjEEhDtlIgkLpgB+o1vL0+3JQgYjJkzRgINXxjhE17edGY2oYT&#10;veBxl3rBIRRro8GlNNVSxs6hN3EVJiT2DmH2JvE599LO5sThfpS5UoX0ZiD+4MyEW4fd527xGmzo&#10;H8v3/EupJ6fWxfbZLoePpPX1VabuQSQ8pz8YfutzdWi50z4sZKMYNeRFdcsoG2VWgGAirwoWexbr&#10;uwpk28j/G9ofUEsDBBQAAAAIAIdO4kBuZILJEwIAAAwEAAAOAAAAZHJzL2Uyb0RvYy54bWytU82O&#10;0zAQviPxDpbvNNmyu11FTffQUjggqAQ8wNRxGkv+k8fbtDduiGfgxpF3gLdZCd6CsRPKsnDYAzlE&#10;M56Zb+b7PJ5fH4xmexlQOVvzs0nJmbTCNcruav7u7frJFWcYwTagnZU1P0rk14vHj+a9r+TUdU43&#10;MjACsVj1vuZdjL4qChSdNIAT56WlYOuCgUhu2BVNgJ7QjS6mZXlZ9C40PjghEel0NQT5iBgeAuja&#10;Vgm5cuLGSBsH1CA1RKKEnfLIF3natpUivm5blJHpmhPTmP/UhOxt+heLOVS7AL5TYhwBHjLCPU4G&#10;lKWmJ6gVRGA3Qf0FZZQIDl0bJ8KZYiCSFSEWZ+U9bd504GXmQlKjP4mO/w9WvNpvAlNNzS+fcmbB&#10;0I1///Dlx/uPt5++3X79zGZJot5jRZlLuwmjh34TEt9DGwxrtfIvaJeyAsSJHbLAx5PA8hCZoMOz&#10;2XQ2JekFhc6vzi/Ki4ReDDAJzgeMz6UzLBk1xxhA7bq4dNbSVbowtID9S4xD4a+CVKwt66nHdFam&#10;FkC72dJOkGk88UO7y/Oh06pZK61TCYbddqkD2wPtx3pd0jdO9Eda6rIC7Ia8HEppUBkVZZIEqk5C&#10;88w2LB49SWjp6fA0jZENZ1rSS0tWzoyg9O9MCMH1/04lXbRN2DIv8sg53cWgfrK2rjnmSymSR0uS&#10;5RwXOm3hXZ/su4948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jMYe01wAAAAsBAAAPAAAAAAAA&#10;AAEAIAAAACIAAABkcnMvZG93bnJldi54bWxQSwECFAAUAAAACACHTuJAbmSCyRMCAAAMBAAADgAA&#10;AAAAAAABACAAAAAmAQAAZHJzL2Uyb0RvYy54bWxQSwUGAAAAAAYABgBZAQAAqwUAAAAA&#10;">
                      <v:fill on="f" focussize="0,0"/>
                      <v:stroke weight="1pt" color="#FF0000" joinstyle="miter" endarrow="open"/>
                      <v:imagedata o:title=""/>
                      <o:lock v:ext="edit" aspectratio="f"/>
                    </v:shape>
                  </w:pict>
                </mc:Fallback>
              </mc:AlternateContent>
            </w:r>
          </w:p>
          <w:p>
            <w:pPr>
              <w:pStyle w:val="23"/>
              <w:spacing w:line="400" w:lineRule="atLeast"/>
              <w:jc w:val="center"/>
              <w:rPr>
                <w:b/>
                <w:bCs/>
                <w:color w:val="auto"/>
                <w:sz w:val="21"/>
                <w:szCs w:val="21"/>
                <w:highlight w:val="none"/>
              </w:rPr>
            </w:pPr>
            <w:r>
              <w:rPr>
                <w:b/>
                <w:bCs/>
                <w:color w:val="auto"/>
                <w:sz w:val="21"/>
                <w:szCs w:val="21"/>
                <w:highlight w:val="none"/>
              </w:rPr>
              <w:t>图2-</w:t>
            </w:r>
            <w:r>
              <w:rPr>
                <w:rFonts w:hint="eastAsia"/>
                <w:b/>
                <w:bCs/>
                <w:color w:val="auto"/>
                <w:sz w:val="21"/>
                <w:szCs w:val="21"/>
                <w:highlight w:val="none"/>
              </w:rPr>
              <w:t>2  苏州工业园区扬东路西延工程</w:t>
            </w:r>
            <w:r>
              <w:rPr>
                <w:b/>
                <w:bCs/>
                <w:color w:val="auto"/>
                <w:sz w:val="21"/>
                <w:szCs w:val="21"/>
                <w:highlight w:val="none"/>
              </w:rPr>
              <w:t>示意图</w:t>
            </w:r>
          </w:p>
          <w:p>
            <w:pPr>
              <w:pStyle w:val="23"/>
              <w:spacing w:line="400" w:lineRule="atLeast"/>
              <w:jc w:val="center"/>
              <w:rPr>
                <w:b/>
                <w:bCs/>
                <w:color w:val="auto"/>
                <w:sz w:val="21"/>
                <w:szCs w:val="21"/>
                <w:highlight w:val="none"/>
              </w:rPr>
            </w:pPr>
          </w:p>
          <w:p>
            <w:pPr>
              <w:pStyle w:val="23"/>
              <w:spacing w:line="400" w:lineRule="atLeast"/>
              <w:jc w:val="center"/>
              <w:rPr>
                <w:b/>
                <w:bCs/>
                <w:color w:val="auto"/>
                <w:sz w:val="21"/>
                <w:szCs w:val="21"/>
                <w:highlight w:val="none"/>
              </w:rPr>
            </w:pPr>
          </w:p>
          <w:p>
            <w:pPr>
              <w:pStyle w:val="23"/>
              <w:spacing w:line="400" w:lineRule="atLeast"/>
              <w:jc w:val="center"/>
              <w:rPr>
                <w:b/>
                <w:bCs/>
                <w:color w:val="auto"/>
                <w:sz w:val="21"/>
                <w:szCs w:val="21"/>
                <w:highlight w:val="none"/>
              </w:rPr>
            </w:pPr>
          </w:p>
          <w:p>
            <w:pPr>
              <w:pStyle w:val="23"/>
              <w:spacing w:line="400" w:lineRule="atLeast"/>
              <w:jc w:val="center"/>
              <w:rPr>
                <w:b/>
                <w:bCs/>
                <w:color w:val="auto"/>
                <w:sz w:val="21"/>
                <w:szCs w:val="21"/>
                <w:highlight w:val="none"/>
              </w:rPr>
            </w:pPr>
          </w:p>
          <w:p>
            <w:pPr>
              <w:pStyle w:val="23"/>
              <w:spacing w:line="400" w:lineRule="atLeast"/>
              <w:jc w:val="center"/>
              <w:rPr>
                <w:b/>
                <w:bCs/>
                <w:color w:val="auto"/>
                <w:sz w:val="21"/>
                <w:szCs w:val="21"/>
                <w:highlight w:val="none"/>
              </w:rPr>
            </w:pPr>
          </w:p>
          <w:p>
            <w:pPr>
              <w:pStyle w:val="23"/>
              <w:spacing w:line="400" w:lineRule="atLeast"/>
              <w:jc w:val="center"/>
              <w:rPr>
                <w:b/>
                <w:bCs/>
                <w:color w:val="auto"/>
                <w:sz w:val="21"/>
                <w:szCs w:val="21"/>
                <w:highlight w:val="none"/>
              </w:rPr>
            </w:pPr>
          </w:p>
          <w:p>
            <w:pPr>
              <w:pStyle w:val="23"/>
              <w:spacing w:line="400" w:lineRule="atLeast"/>
              <w:jc w:val="center"/>
              <w:rPr>
                <w:b/>
                <w:bCs/>
                <w:color w:val="auto"/>
                <w:sz w:val="21"/>
                <w:szCs w:val="21"/>
                <w:highlight w:val="none"/>
              </w:rPr>
            </w:pPr>
          </w:p>
          <w:p>
            <w:pPr>
              <w:pStyle w:val="23"/>
              <w:spacing w:line="400" w:lineRule="atLeast"/>
              <w:jc w:val="center"/>
              <w:rPr>
                <w:b/>
                <w:bCs/>
                <w:color w:val="auto"/>
                <w:sz w:val="21"/>
                <w:szCs w:val="21"/>
                <w:highlight w:val="none"/>
              </w:rPr>
            </w:pPr>
            <w:r>
              <w:rPr>
                <w:rFonts w:hint="eastAsia"/>
                <w:b/>
                <w:bCs/>
                <w:color w:val="auto"/>
                <w:sz w:val="21"/>
                <w:szCs w:val="21"/>
                <w:highlight w:val="none"/>
              </w:rPr>
              <w:t>表2-1项目主线建设方案一览表</w:t>
            </w:r>
          </w:p>
          <w:tbl>
            <w:tblPr>
              <w:tblStyle w:val="19"/>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4"/>
              <w:gridCol w:w="1196"/>
              <w:gridCol w:w="67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600" w:type="dxa"/>
                  <w:gridSpan w:val="2"/>
                  <w:vAlign w:val="center"/>
                </w:tcPr>
                <w:p>
                  <w:pPr>
                    <w:pStyle w:val="23"/>
                    <w:spacing w:line="400" w:lineRule="atLeast"/>
                    <w:jc w:val="center"/>
                    <w:rPr>
                      <w:b/>
                      <w:bCs/>
                      <w:color w:val="auto"/>
                      <w:sz w:val="21"/>
                      <w:szCs w:val="21"/>
                      <w:highlight w:val="none"/>
                    </w:rPr>
                  </w:pPr>
                  <w:r>
                    <w:rPr>
                      <w:rFonts w:hint="eastAsia"/>
                      <w:b/>
                      <w:bCs/>
                      <w:color w:val="auto"/>
                      <w:sz w:val="21"/>
                      <w:szCs w:val="21"/>
                      <w:highlight w:val="none"/>
                    </w:rPr>
                    <w:t>项目</w:t>
                  </w:r>
                </w:p>
              </w:tc>
              <w:tc>
                <w:tcPr>
                  <w:tcW w:w="6778" w:type="dxa"/>
                  <w:vAlign w:val="center"/>
                </w:tcPr>
                <w:p>
                  <w:pPr>
                    <w:pStyle w:val="23"/>
                    <w:spacing w:line="400" w:lineRule="atLeast"/>
                    <w:jc w:val="center"/>
                    <w:rPr>
                      <w:b/>
                      <w:bCs/>
                      <w:color w:val="auto"/>
                      <w:sz w:val="21"/>
                      <w:szCs w:val="21"/>
                      <w:highlight w:val="none"/>
                    </w:rPr>
                  </w:pPr>
                  <w:r>
                    <w:rPr>
                      <w:rFonts w:hint="eastAsia"/>
                      <w:b/>
                      <w:bCs/>
                      <w:color w:val="auto"/>
                      <w:sz w:val="21"/>
                      <w:szCs w:val="21"/>
                      <w:highlight w:val="none"/>
                    </w:rPr>
                    <w:t>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04" w:type="dxa"/>
                  <w:vMerge w:val="restart"/>
                  <w:vAlign w:val="center"/>
                </w:tcPr>
                <w:p>
                  <w:pPr>
                    <w:pStyle w:val="23"/>
                    <w:spacing w:line="400" w:lineRule="atLeast"/>
                    <w:jc w:val="center"/>
                    <w:rPr>
                      <w:color w:val="auto"/>
                      <w:sz w:val="21"/>
                      <w:szCs w:val="21"/>
                      <w:highlight w:val="none"/>
                    </w:rPr>
                  </w:pPr>
                  <w:r>
                    <w:rPr>
                      <w:rFonts w:ascii="宋体" w:hAnsi="宋体" w:cs="宋体"/>
                      <w:color w:val="auto"/>
                      <w:spacing w:val="4"/>
                      <w:sz w:val="21"/>
                      <w:szCs w:val="21"/>
                      <w:highlight w:val="none"/>
                    </w:rPr>
                    <w:t>主</w:t>
                  </w:r>
                  <w:r>
                    <w:rPr>
                      <w:rFonts w:ascii="宋体" w:hAnsi="宋体" w:cs="宋体"/>
                      <w:color w:val="auto"/>
                      <w:spacing w:val="3"/>
                      <w:sz w:val="21"/>
                      <w:szCs w:val="21"/>
                      <w:highlight w:val="none"/>
                    </w:rPr>
                    <w:t>体</w:t>
                  </w:r>
                  <w:r>
                    <w:rPr>
                      <w:rFonts w:ascii="宋体" w:hAnsi="宋体" w:cs="宋体"/>
                      <w:color w:val="auto"/>
                      <w:spacing w:val="4"/>
                      <w:sz w:val="21"/>
                      <w:szCs w:val="21"/>
                      <w:highlight w:val="none"/>
                    </w:rPr>
                    <w:t>工</w:t>
                  </w:r>
                  <w:r>
                    <w:rPr>
                      <w:rFonts w:ascii="宋体" w:hAnsi="宋体" w:cs="宋体"/>
                      <w:color w:val="auto"/>
                      <w:spacing w:val="3"/>
                      <w:sz w:val="21"/>
                      <w:szCs w:val="21"/>
                      <w:highlight w:val="none"/>
                    </w:rPr>
                    <w:t>程</w:t>
                  </w:r>
                </w:p>
              </w:tc>
              <w:tc>
                <w:tcPr>
                  <w:tcW w:w="1196" w:type="dxa"/>
                  <w:vAlign w:val="center"/>
                </w:tcPr>
                <w:p>
                  <w:pPr>
                    <w:pStyle w:val="23"/>
                    <w:spacing w:line="400" w:lineRule="atLeast"/>
                    <w:jc w:val="center"/>
                    <w:rPr>
                      <w:color w:val="auto"/>
                      <w:sz w:val="21"/>
                      <w:szCs w:val="21"/>
                      <w:highlight w:val="none"/>
                    </w:rPr>
                  </w:pPr>
                  <w:r>
                    <w:rPr>
                      <w:rFonts w:hint="eastAsia"/>
                      <w:color w:val="auto"/>
                      <w:sz w:val="21"/>
                      <w:szCs w:val="21"/>
                      <w:highlight w:val="none"/>
                    </w:rPr>
                    <w:t>全长</w:t>
                  </w:r>
                </w:p>
              </w:tc>
              <w:tc>
                <w:tcPr>
                  <w:tcW w:w="6778" w:type="dxa"/>
                  <w:vAlign w:val="center"/>
                </w:tcPr>
                <w:p>
                  <w:pPr>
                    <w:pStyle w:val="23"/>
                    <w:spacing w:line="400" w:lineRule="atLeast"/>
                    <w:rPr>
                      <w:color w:val="auto"/>
                      <w:sz w:val="21"/>
                      <w:szCs w:val="21"/>
                      <w:highlight w:val="none"/>
                    </w:rPr>
                  </w:pPr>
                  <w:r>
                    <w:rPr>
                      <w:rFonts w:hint="eastAsia"/>
                      <w:color w:val="auto"/>
                      <w:sz w:val="21"/>
                      <w:szCs w:val="21"/>
                      <w:highlight w:val="none"/>
                    </w:rPr>
                    <w:t>标准段路幅总宽32m，四幅式断面，其中机动车道2×7.4米，非机动车道2×3米，侧分带2×1.6米，中分带2米，人行道2×3米。</w:t>
                  </w:r>
                </w:p>
                <w:p>
                  <w:pPr>
                    <w:pStyle w:val="23"/>
                    <w:spacing w:line="400" w:lineRule="atLeast"/>
                    <w:rPr>
                      <w:color w:val="auto"/>
                      <w:sz w:val="21"/>
                      <w:szCs w:val="21"/>
                      <w:highlight w:val="none"/>
                    </w:rPr>
                  </w:pPr>
                  <w:r>
                    <w:rPr>
                      <w:rFonts w:hint="eastAsia"/>
                      <w:color w:val="auto"/>
                      <w:sz w:val="21"/>
                      <w:szCs w:val="21"/>
                      <w:highlight w:val="none"/>
                    </w:rPr>
                    <w:t>路拱均采用直线型，车行道路面横坡为</w:t>
                  </w:r>
                  <w:r>
                    <w:rPr>
                      <w:color w:val="auto"/>
                      <w:sz w:val="21"/>
                      <w:szCs w:val="21"/>
                      <w:highlight w:val="none"/>
                    </w:rPr>
                    <w:t>2%</w:t>
                  </w:r>
                  <w:r>
                    <w:rPr>
                      <w:rFonts w:hint="eastAsia"/>
                      <w:color w:val="auto"/>
                      <w:sz w:val="21"/>
                      <w:szCs w:val="21"/>
                      <w:highlight w:val="none"/>
                    </w:rPr>
                    <w:t>（桥梁段为降低桥面标高，横坡为</w:t>
                  </w:r>
                  <w:r>
                    <w:rPr>
                      <w:color w:val="auto"/>
                      <w:sz w:val="21"/>
                      <w:szCs w:val="21"/>
                      <w:highlight w:val="none"/>
                    </w:rPr>
                    <w:t>1%</w:t>
                  </w:r>
                  <w:r>
                    <w:rPr>
                      <w:rFonts w:hint="eastAsia"/>
                      <w:color w:val="auto"/>
                      <w:sz w:val="21"/>
                      <w:szCs w:val="21"/>
                      <w:highlight w:val="none"/>
                    </w:rPr>
                    <w:t>），坡向道路外侧。人行道横坡为</w:t>
                  </w:r>
                  <w:r>
                    <w:rPr>
                      <w:color w:val="auto"/>
                      <w:sz w:val="21"/>
                      <w:szCs w:val="21"/>
                      <w:highlight w:val="none"/>
                    </w:rPr>
                    <w:t>1.5%</w:t>
                  </w:r>
                  <w:r>
                    <w:rPr>
                      <w:rFonts w:hint="eastAsia"/>
                      <w:color w:val="auto"/>
                      <w:sz w:val="21"/>
                      <w:szCs w:val="21"/>
                      <w:highlight w:val="none"/>
                    </w:rPr>
                    <w:t>，坡向道路中心。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4" w:type="dxa"/>
                  <w:vMerge w:val="continue"/>
                  <w:vAlign w:val="center"/>
                </w:tcPr>
                <w:p>
                  <w:pPr>
                    <w:pStyle w:val="23"/>
                    <w:spacing w:line="400" w:lineRule="atLeast"/>
                    <w:jc w:val="center"/>
                    <w:rPr>
                      <w:b/>
                      <w:bCs/>
                      <w:color w:val="auto"/>
                      <w:sz w:val="21"/>
                      <w:szCs w:val="21"/>
                      <w:highlight w:val="none"/>
                    </w:rPr>
                  </w:pPr>
                </w:p>
              </w:tc>
              <w:tc>
                <w:tcPr>
                  <w:tcW w:w="1196" w:type="dxa"/>
                  <w:vAlign w:val="center"/>
                </w:tcPr>
                <w:p>
                  <w:pPr>
                    <w:pStyle w:val="23"/>
                    <w:spacing w:line="400" w:lineRule="atLeast"/>
                    <w:jc w:val="center"/>
                    <w:rPr>
                      <w:b/>
                      <w:bCs/>
                      <w:color w:val="auto"/>
                      <w:sz w:val="21"/>
                      <w:szCs w:val="21"/>
                      <w:highlight w:val="none"/>
                    </w:rPr>
                  </w:pPr>
                  <w:r>
                    <w:rPr>
                      <w:rFonts w:hint="eastAsia"/>
                      <w:color w:val="auto"/>
                      <w:sz w:val="21"/>
                      <w:szCs w:val="21"/>
                      <w:highlight w:val="none"/>
                    </w:rPr>
                    <w:t>桥梁</w:t>
                  </w:r>
                </w:p>
              </w:tc>
              <w:tc>
                <w:tcPr>
                  <w:tcW w:w="6778" w:type="dxa"/>
                  <w:vAlign w:val="center"/>
                </w:tcPr>
                <w:p>
                  <w:pPr>
                    <w:pStyle w:val="23"/>
                    <w:spacing w:line="400" w:lineRule="atLeast"/>
                    <w:rPr>
                      <w:color w:val="auto"/>
                      <w:sz w:val="21"/>
                      <w:szCs w:val="21"/>
                      <w:highlight w:val="none"/>
                    </w:rPr>
                  </w:pPr>
                  <w:r>
                    <w:rPr>
                      <w:rFonts w:hint="eastAsia"/>
                      <w:color w:val="auto"/>
                      <w:sz w:val="21"/>
                      <w:szCs w:val="21"/>
                      <w:highlight w:val="none"/>
                    </w:rPr>
                    <w:t>扬东路跨越外塘河需新建一座桥梁，外塘河规划河宽约53.08~54.4m，桥梁跨径布置为2×20+35+2×25m，桥梁宽度同道路宽为32米。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4" w:type="dxa"/>
                  <w:vMerge w:val="continue"/>
                  <w:vAlign w:val="center"/>
                </w:tcPr>
                <w:p>
                  <w:pPr>
                    <w:pStyle w:val="23"/>
                    <w:spacing w:line="400" w:lineRule="atLeast"/>
                    <w:jc w:val="center"/>
                    <w:rPr>
                      <w:b/>
                      <w:bCs/>
                      <w:color w:val="auto"/>
                      <w:sz w:val="21"/>
                      <w:szCs w:val="21"/>
                      <w:highlight w:val="none"/>
                    </w:rPr>
                  </w:pPr>
                </w:p>
              </w:tc>
              <w:tc>
                <w:tcPr>
                  <w:tcW w:w="1196" w:type="dxa"/>
                  <w:vAlign w:val="center"/>
                </w:tcPr>
                <w:p>
                  <w:pPr>
                    <w:pStyle w:val="23"/>
                    <w:spacing w:line="400" w:lineRule="atLeast"/>
                    <w:jc w:val="center"/>
                    <w:rPr>
                      <w:b/>
                      <w:bCs/>
                      <w:color w:val="auto"/>
                      <w:sz w:val="21"/>
                      <w:szCs w:val="21"/>
                      <w:highlight w:val="none"/>
                    </w:rPr>
                  </w:pPr>
                  <w:r>
                    <w:rPr>
                      <w:rFonts w:hint="eastAsia" w:ascii="宋体" w:hAnsi="宋体" w:cs="宋体"/>
                      <w:color w:val="auto"/>
                      <w:spacing w:val="-1"/>
                      <w:sz w:val="21"/>
                      <w:szCs w:val="21"/>
                      <w:highlight w:val="none"/>
                    </w:rPr>
                    <w:t>下穿通道</w:t>
                  </w:r>
                </w:p>
              </w:tc>
              <w:tc>
                <w:tcPr>
                  <w:tcW w:w="6778" w:type="dxa"/>
                  <w:vAlign w:val="center"/>
                </w:tcPr>
                <w:p>
                  <w:pPr>
                    <w:pStyle w:val="23"/>
                    <w:spacing w:line="400" w:lineRule="atLeast"/>
                    <w:rPr>
                      <w:b/>
                      <w:bCs/>
                      <w:color w:val="auto"/>
                      <w:sz w:val="21"/>
                      <w:szCs w:val="21"/>
                      <w:highlight w:val="none"/>
                    </w:rPr>
                  </w:pPr>
                  <w:r>
                    <w:rPr>
                      <w:rFonts w:hint="eastAsia"/>
                      <w:color w:val="auto"/>
                      <w:sz w:val="21"/>
                      <w:szCs w:val="21"/>
                      <w:highlight w:val="none"/>
                    </w:rPr>
                    <w:t>本期预留地下通平面总长为41.084m，均为暗埋段。通道两侧地块远期接口标高（结构底板顶面）按-2.7m控制，由于路幅范围内存在规划管线，最低标高（结构底板顶面）按-4.52m控制，通道两头设置0.5m厚封堵墙封堵。通道暗埋段最低点设集水井，集水井处设置1道截水沟，废水可通过边沟和截水沟引入集水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4" w:type="dxa"/>
                  <w:vMerge w:val="continue"/>
                  <w:vAlign w:val="center"/>
                </w:tcPr>
                <w:p>
                  <w:pPr>
                    <w:pStyle w:val="23"/>
                    <w:spacing w:line="400" w:lineRule="atLeast"/>
                    <w:jc w:val="center"/>
                    <w:rPr>
                      <w:b/>
                      <w:bCs/>
                      <w:color w:val="auto"/>
                      <w:sz w:val="21"/>
                      <w:szCs w:val="21"/>
                      <w:highlight w:val="none"/>
                    </w:rPr>
                  </w:pPr>
                </w:p>
              </w:tc>
              <w:tc>
                <w:tcPr>
                  <w:tcW w:w="1196" w:type="dxa"/>
                  <w:vAlign w:val="center"/>
                </w:tcPr>
                <w:p>
                  <w:pPr>
                    <w:pStyle w:val="23"/>
                    <w:spacing w:line="400" w:lineRule="atLeast"/>
                    <w:jc w:val="center"/>
                    <w:rPr>
                      <w:color w:val="auto"/>
                      <w:sz w:val="21"/>
                      <w:szCs w:val="21"/>
                      <w:highlight w:val="none"/>
                    </w:rPr>
                  </w:pPr>
                  <w:r>
                    <w:rPr>
                      <w:rFonts w:hint="eastAsia"/>
                      <w:color w:val="auto"/>
                      <w:sz w:val="21"/>
                      <w:szCs w:val="21"/>
                      <w:highlight w:val="none"/>
                    </w:rPr>
                    <w:t>交叉</w:t>
                  </w:r>
                </w:p>
              </w:tc>
              <w:tc>
                <w:tcPr>
                  <w:tcW w:w="6778" w:type="dxa"/>
                  <w:vAlign w:val="center"/>
                </w:tcPr>
                <w:p>
                  <w:pPr>
                    <w:pStyle w:val="23"/>
                    <w:spacing w:line="400" w:lineRule="atLeast"/>
                    <w:rPr>
                      <w:color w:val="auto"/>
                      <w:sz w:val="21"/>
                      <w:szCs w:val="21"/>
                      <w:highlight w:val="none"/>
                    </w:rPr>
                  </w:pPr>
                  <w:r>
                    <w:rPr>
                      <w:rFonts w:hint="eastAsia"/>
                      <w:color w:val="auto"/>
                      <w:sz w:val="21"/>
                      <w:szCs w:val="21"/>
                      <w:highlight w:val="none"/>
                    </w:rPr>
                    <w:t>沿线交叉口扬帆路交叉口为十字交叉口，交叉口西侧渠化为三进三出。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00" w:type="dxa"/>
                  <w:gridSpan w:val="2"/>
                  <w:vAlign w:val="center"/>
                </w:tcPr>
                <w:p>
                  <w:pPr>
                    <w:pStyle w:val="23"/>
                    <w:spacing w:line="400" w:lineRule="atLeast"/>
                    <w:jc w:val="center"/>
                    <w:rPr>
                      <w:b/>
                      <w:bCs/>
                      <w:color w:val="auto"/>
                      <w:sz w:val="21"/>
                      <w:szCs w:val="21"/>
                      <w:highlight w:val="none"/>
                    </w:rPr>
                  </w:pPr>
                  <w:r>
                    <w:rPr>
                      <w:rFonts w:ascii="宋体" w:hAnsi="宋体" w:cs="宋体"/>
                      <w:color w:val="auto"/>
                      <w:spacing w:val="9"/>
                      <w:sz w:val="21"/>
                      <w:szCs w:val="21"/>
                      <w:highlight w:val="none"/>
                    </w:rPr>
                    <w:t>征</w:t>
                  </w:r>
                  <w:r>
                    <w:rPr>
                      <w:rFonts w:ascii="宋体" w:hAnsi="宋体" w:cs="宋体"/>
                      <w:color w:val="auto"/>
                      <w:spacing w:val="6"/>
                      <w:sz w:val="21"/>
                      <w:szCs w:val="21"/>
                      <w:highlight w:val="none"/>
                    </w:rPr>
                    <w:t>用土地</w:t>
                  </w:r>
                </w:p>
              </w:tc>
              <w:tc>
                <w:tcPr>
                  <w:tcW w:w="6778" w:type="dxa"/>
                  <w:vAlign w:val="center"/>
                </w:tcPr>
                <w:p>
                  <w:pPr>
                    <w:pStyle w:val="23"/>
                    <w:spacing w:line="400" w:lineRule="atLeast"/>
                    <w:rPr>
                      <w:b/>
                      <w:bCs/>
                      <w:color w:val="auto"/>
                      <w:sz w:val="21"/>
                      <w:szCs w:val="21"/>
                      <w:highlight w:val="none"/>
                    </w:rPr>
                  </w:pPr>
                  <w:r>
                    <w:rPr>
                      <w:rFonts w:hint="eastAsia"/>
                      <w:color w:val="auto"/>
                      <w:sz w:val="21"/>
                      <w:szCs w:val="21"/>
                      <w:highlight w:val="none"/>
                    </w:rPr>
                    <w:t>永久占地1.7746公顷，其中农用地合计：0.1183公顷，其中耕地：0.1183公顷。建设用地：1.5165公顷；未利用地：0.1398公顷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00" w:type="dxa"/>
                  <w:gridSpan w:val="2"/>
                  <w:vAlign w:val="center"/>
                </w:tcPr>
                <w:p>
                  <w:pPr>
                    <w:pStyle w:val="23"/>
                    <w:spacing w:line="400" w:lineRule="atLeast"/>
                    <w:jc w:val="center"/>
                    <w:rPr>
                      <w:b/>
                      <w:bCs/>
                      <w:color w:val="auto"/>
                      <w:sz w:val="21"/>
                      <w:szCs w:val="21"/>
                      <w:highlight w:val="none"/>
                    </w:rPr>
                  </w:pPr>
                  <w:r>
                    <w:rPr>
                      <w:rFonts w:ascii="宋体" w:hAnsi="宋体" w:cs="宋体"/>
                      <w:color w:val="auto"/>
                      <w:spacing w:val="7"/>
                      <w:sz w:val="21"/>
                      <w:szCs w:val="21"/>
                      <w:highlight w:val="none"/>
                    </w:rPr>
                    <w:t>管</w:t>
                  </w:r>
                  <w:r>
                    <w:rPr>
                      <w:rFonts w:ascii="宋体" w:hAnsi="宋体" w:cs="宋体"/>
                      <w:color w:val="auto"/>
                      <w:spacing w:val="6"/>
                      <w:sz w:val="21"/>
                      <w:szCs w:val="21"/>
                      <w:highlight w:val="none"/>
                    </w:rPr>
                    <w:t>线工程</w:t>
                  </w:r>
                </w:p>
              </w:tc>
              <w:tc>
                <w:tcPr>
                  <w:tcW w:w="6778" w:type="dxa"/>
                  <w:vAlign w:val="center"/>
                </w:tcPr>
                <w:p>
                  <w:pPr>
                    <w:pStyle w:val="23"/>
                    <w:spacing w:line="400" w:lineRule="atLeast"/>
                    <w:rPr>
                      <w:b/>
                      <w:bCs/>
                      <w:color w:val="auto"/>
                      <w:sz w:val="21"/>
                      <w:szCs w:val="21"/>
                      <w:highlight w:val="none"/>
                    </w:rPr>
                  </w:pPr>
                  <w:r>
                    <w:rPr>
                      <w:rFonts w:hint="eastAsia"/>
                      <w:color w:val="auto"/>
                      <w:sz w:val="21"/>
                      <w:szCs w:val="21"/>
                      <w:highlight w:val="none"/>
                    </w:rPr>
                    <w:t>本工程主要布置的管线有排水工程、交通工程、管线综合、管线迁改、路灯等专业管线。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00" w:type="dxa"/>
                  <w:gridSpan w:val="2"/>
                  <w:vAlign w:val="center"/>
                </w:tcPr>
                <w:p>
                  <w:pPr>
                    <w:pStyle w:val="23"/>
                    <w:spacing w:line="400" w:lineRule="atLeast"/>
                    <w:jc w:val="center"/>
                    <w:rPr>
                      <w:b/>
                      <w:bCs/>
                      <w:color w:val="auto"/>
                      <w:sz w:val="21"/>
                      <w:szCs w:val="21"/>
                      <w:highlight w:val="none"/>
                    </w:rPr>
                  </w:pPr>
                  <w:r>
                    <w:rPr>
                      <w:rFonts w:ascii="宋体" w:hAnsi="宋体" w:cs="宋体"/>
                      <w:color w:val="auto"/>
                      <w:spacing w:val="7"/>
                      <w:sz w:val="21"/>
                      <w:szCs w:val="21"/>
                      <w:highlight w:val="none"/>
                    </w:rPr>
                    <w:t>绿化工</w:t>
                  </w:r>
                  <w:r>
                    <w:rPr>
                      <w:rFonts w:ascii="宋体" w:hAnsi="宋体" w:cs="宋体"/>
                      <w:color w:val="auto"/>
                      <w:spacing w:val="6"/>
                      <w:sz w:val="21"/>
                      <w:szCs w:val="21"/>
                      <w:highlight w:val="none"/>
                    </w:rPr>
                    <w:t>程</w:t>
                  </w:r>
                </w:p>
              </w:tc>
              <w:tc>
                <w:tcPr>
                  <w:tcW w:w="6778" w:type="dxa"/>
                  <w:vAlign w:val="center"/>
                </w:tcPr>
                <w:p>
                  <w:pPr>
                    <w:pStyle w:val="23"/>
                    <w:spacing w:line="400" w:lineRule="atLeast"/>
                    <w:rPr>
                      <w:color w:val="auto"/>
                      <w:sz w:val="21"/>
                      <w:szCs w:val="21"/>
                      <w:highlight w:val="none"/>
                    </w:rPr>
                  </w:pPr>
                  <w:r>
                    <w:rPr>
                      <w:rFonts w:hint="eastAsia"/>
                      <w:color w:val="auto"/>
                      <w:sz w:val="21"/>
                      <w:szCs w:val="21"/>
                      <w:highlight w:val="none"/>
                    </w:rPr>
                    <w:t>外塘河至苏嘉杭高速范围沿线有行道树，长势良好，约 170 棵绿化树木需迁移。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00" w:type="dxa"/>
                  <w:gridSpan w:val="2"/>
                  <w:vAlign w:val="center"/>
                </w:tcPr>
                <w:p>
                  <w:pPr>
                    <w:pStyle w:val="23"/>
                    <w:spacing w:line="400" w:lineRule="atLeast"/>
                    <w:jc w:val="center"/>
                    <w:rPr>
                      <w:b/>
                      <w:bCs/>
                      <w:color w:val="auto"/>
                      <w:sz w:val="21"/>
                      <w:szCs w:val="21"/>
                      <w:highlight w:val="none"/>
                    </w:rPr>
                  </w:pPr>
                  <w:r>
                    <w:rPr>
                      <w:rFonts w:ascii="宋体" w:hAnsi="宋体" w:cs="宋体"/>
                      <w:color w:val="auto"/>
                      <w:spacing w:val="4"/>
                      <w:sz w:val="21"/>
                      <w:szCs w:val="21"/>
                      <w:highlight w:val="none"/>
                    </w:rPr>
                    <w:t>附</w:t>
                  </w:r>
                  <w:r>
                    <w:rPr>
                      <w:rFonts w:ascii="宋体" w:hAnsi="宋体" w:cs="宋体"/>
                      <w:color w:val="auto"/>
                      <w:spacing w:val="3"/>
                      <w:sz w:val="21"/>
                      <w:szCs w:val="21"/>
                      <w:highlight w:val="none"/>
                    </w:rPr>
                    <w:t>属工程</w:t>
                  </w:r>
                </w:p>
              </w:tc>
              <w:tc>
                <w:tcPr>
                  <w:tcW w:w="6778" w:type="dxa"/>
                  <w:vAlign w:val="center"/>
                </w:tcPr>
                <w:p>
                  <w:pPr>
                    <w:pStyle w:val="23"/>
                    <w:spacing w:line="400" w:lineRule="atLeast"/>
                    <w:rPr>
                      <w:color w:val="auto"/>
                      <w:sz w:val="21"/>
                      <w:szCs w:val="21"/>
                      <w:highlight w:val="none"/>
                    </w:rPr>
                  </w:pPr>
                  <w:r>
                    <w:rPr>
                      <w:rFonts w:hint="eastAsia"/>
                      <w:color w:val="auto"/>
                      <w:sz w:val="21"/>
                      <w:szCs w:val="21"/>
                      <w:highlight w:val="none"/>
                    </w:rPr>
                    <w:t>同步实施桥梁装饰、泛光照明、路灯、交通标志线、信号灯等相关附属工程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00" w:type="dxa"/>
                  <w:gridSpan w:val="2"/>
                  <w:vAlign w:val="center"/>
                </w:tcPr>
                <w:p>
                  <w:pPr>
                    <w:pStyle w:val="23"/>
                    <w:spacing w:line="400" w:lineRule="atLeast"/>
                    <w:jc w:val="center"/>
                    <w:rPr>
                      <w:b/>
                      <w:bCs/>
                      <w:color w:val="auto"/>
                      <w:sz w:val="21"/>
                      <w:szCs w:val="21"/>
                      <w:highlight w:val="none"/>
                    </w:rPr>
                  </w:pPr>
                  <w:r>
                    <w:rPr>
                      <w:rFonts w:hint="eastAsia" w:ascii="宋体" w:hAnsi="宋体" w:cs="宋体"/>
                      <w:color w:val="auto"/>
                      <w:spacing w:val="4"/>
                      <w:sz w:val="21"/>
                      <w:szCs w:val="21"/>
                      <w:highlight w:val="none"/>
                    </w:rPr>
                    <w:t>土石方</w:t>
                  </w:r>
                </w:p>
              </w:tc>
              <w:tc>
                <w:tcPr>
                  <w:tcW w:w="6778" w:type="dxa"/>
                  <w:vAlign w:val="center"/>
                </w:tcPr>
                <w:p>
                  <w:pPr>
                    <w:pStyle w:val="23"/>
                    <w:spacing w:line="400" w:lineRule="atLeast"/>
                    <w:rPr>
                      <w:b/>
                      <w:bCs/>
                      <w:color w:val="auto"/>
                      <w:sz w:val="21"/>
                      <w:szCs w:val="21"/>
                      <w:highlight w:val="none"/>
                    </w:rPr>
                  </w:pPr>
                  <w:r>
                    <w:rPr>
                      <w:rFonts w:hint="eastAsia"/>
                      <w:color w:val="auto"/>
                      <w:sz w:val="21"/>
                      <w:szCs w:val="21"/>
                      <w:highlight w:val="none"/>
                    </w:rPr>
                    <w:t>工程全线总挖方30818立方米，总填方28936立方米，外购土方24294立方米，废方外运25000立方米。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4" w:type="dxa"/>
                  <w:vMerge w:val="restart"/>
                  <w:vAlign w:val="center"/>
                </w:tcPr>
                <w:p>
                  <w:pPr>
                    <w:pStyle w:val="23"/>
                    <w:spacing w:line="400" w:lineRule="atLeast"/>
                    <w:jc w:val="center"/>
                    <w:rPr>
                      <w:b/>
                      <w:bCs/>
                      <w:color w:val="auto"/>
                      <w:sz w:val="21"/>
                      <w:szCs w:val="21"/>
                      <w:highlight w:val="none"/>
                    </w:rPr>
                  </w:pPr>
                  <w:r>
                    <w:rPr>
                      <w:rFonts w:hint="eastAsia"/>
                      <w:color w:val="auto"/>
                      <w:sz w:val="21"/>
                      <w:szCs w:val="21"/>
                      <w:highlight w:val="none"/>
                    </w:rPr>
                    <w:t>环保工程</w:t>
                  </w:r>
                </w:p>
              </w:tc>
              <w:tc>
                <w:tcPr>
                  <w:tcW w:w="1196" w:type="dxa"/>
                  <w:vAlign w:val="center"/>
                </w:tcPr>
                <w:p>
                  <w:pPr>
                    <w:pStyle w:val="23"/>
                    <w:spacing w:line="400" w:lineRule="atLeast"/>
                    <w:jc w:val="center"/>
                    <w:rPr>
                      <w:b/>
                      <w:bCs/>
                      <w:color w:val="auto"/>
                      <w:sz w:val="21"/>
                      <w:szCs w:val="21"/>
                      <w:highlight w:val="none"/>
                    </w:rPr>
                  </w:pPr>
                  <w:r>
                    <w:rPr>
                      <w:rFonts w:ascii="宋体" w:hAnsi="宋体" w:cs="宋体"/>
                      <w:color w:val="auto"/>
                      <w:spacing w:val="6"/>
                      <w:sz w:val="21"/>
                      <w:szCs w:val="21"/>
                      <w:highlight w:val="none"/>
                    </w:rPr>
                    <w:t>水环境</w:t>
                  </w:r>
                </w:p>
              </w:tc>
              <w:tc>
                <w:tcPr>
                  <w:tcW w:w="6778" w:type="dxa"/>
                  <w:vAlign w:val="center"/>
                </w:tcPr>
                <w:p>
                  <w:pPr>
                    <w:pStyle w:val="23"/>
                    <w:spacing w:line="400" w:lineRule="atLeast"/>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施工废水均由在施工现场设置的隔油沉淀池进行处理后回用于现场洒水降尘，不外排。</w:t>
                  </w:r>
                </w:p>
                <w:p>
                  <w:pPr>
                    <w:pStyle w:val="23"/>
                    <w:spacing w:line="400" w:lineRule="atLeast"/>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项目营运期污水主要来自降雨产生的路面径流，经道路排水系统收集后排放至附近河流。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4" w:type="dxa"/>
                  <w:vMerge w:val="continue"/>
                  <w:vAlign w:val="center"/>
                </w:tcPr>
                <w:p>
                  <w:pPr>
                    <w:pStyle w:val="23"/>
                    <w:spacing w:line="400" w:lineRule="atLeast"/>
                    <w:jc w:val="center"/>
                    <w:rPr>
                      <w:b/>
                      <w:bCs/>
                      <w:color w:val="auto"/>
                      <w:sz w:val="21"/>
                      <w:szCs w:val="21"/>
                      <w:highlight w:val="none"/>
                    </w:rPr>
                  </w:pPr>
                </w:p>
              </w:tc>
              <w:tc>
                <w:tcPr>
                  <w:tcW w:w="1196" w:type="dxa"/>
                  <w:vAlign w:val="center"/>
                </w:tcPr>
                <w:p>
                  <w:pPr>
                    <w:pStyle w:val="23"/>
                    <w:spacing w:line="400" w:lineRule="atLeast"/>
                    <w:jc w:val="center"/>
                    <w:rPr>
                      <w:b/>
                      <w:bCs/>
                      <w:color w:val="auto"/>
                      <w:sz w:val="21"/>
                      <w:szCs w:val="21"/>
                      <w:highlight w:val="none"/>
                    </w:rPr>
                  </w:pPr>
                  <w:r>
                    <w:rPr>
                      <w:rFonts w:ascii="宋体" w:hAnsi="宋体" w:cs="宋体"/>
                      <w:color w:val="auto"/>
                      <w:spacing w:val="6"/>
                      <w:sz w:val="21"/>
                      <w:szCs w:val="21"/>
                      <w:highlight w:val="none"/>
                    </w:rPr>
                    <w:t>声</w:t>
                  </w:r>
                  <w:r>
                    <w:rPr>
                      <w:rFonts w:ascii="宋体" w:hAnsi="宋体" w:cs="宋体"/>
                      <w:color w:val="auto"/>
                      <w:spacing w:val="5"/>
                      <w:sz w:val="21"/>
                      <w:szCs w:val="21"/>
                      <w:highlight w:val="none"/>
                    </w:rPr>
                    <w:t>环境</w:t>
                  </w:r>
                </w:p>
              </w:tc>
              <w:tc>
                <w:tcPr>
                  <w:tcW w:w="6778" w:type="dxa"/>
                  <w:vAlign w:val="center"/>
                </w:tcPr>
                <w:p>
                  <w:pPr>
                    <w:pStyle w:val="23"/>
                    <w:spacing w:line="400" w:lineRule="atLeast"/>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项</w:t>
                  </w:r>
                  <w:r>
                    <w:rPr>
                      <w:rFonts w:ascii="宋体" w:hAnsi="宋体" w:cs="宋体"/>
                      <w:color w:val="auto"/>
                      <w:spacing w:val="6"/>
                      <w:sz w:val="21"/>
                      <w:szCs w:val="21"/>
                      <w:highlight w:val="none"/>
                    </w:rPr>
                    <w:t>目200米范围内的声环境敏感目标为距离道路</w:t>
                  </w:r>
                  <w:r>
                    <w:rPr>
                      <w:rFonts w:hint="eastAsia" w:ascii="宋体" w:hAnsi="宋体" w:cs="宋体"/>
                      <w:color w:val="auto"/>
                      <w:spacing w:val="6"/>
                      <w:sz w:val="21"/>
                      <w:szCs w:val="21"/>
                      <w:highlight w:val="none"/>
                    </w:rPr>
                    <w:t>起点</w:t>
                  </w:r>
                  <w:r>
                    <w:rPr>
                      <w:rFonts w:ascii="宋体" w:hAnsi="宋体" w:cs="宋体"/>
                      <w:color w:val="auto"/>
                      <w:spacing w:val="6"/>
                      <w:sz w:val="21"/>
                      <w:szCs w:val="21"/>
                      <w:highlight w:val="none"/>
                    </w:rPr>
                    <w:t>中心线</w:t>
                  </w:r>
                  <w:r>
                    <w:rPr>
                      <w:rFonts w:hint="eastAsia" w:ascii="宋体" w:hAnsi="宋体" w:cs="宋体"/>
                      <w:color w:val="auto"/>
                      <w:spacing w:val="6"/>
                      <w:sz w:val="21"/>
                      <w:szCs w:val="21"/>
                      <w:highlight w:val="none"/>
                    </w:rPr>
                    <w:t>75</w:t>
                  </w:r>
                  <w:r>
                    <w:rPr>
                      <w:rFonts w:ascii="宋体" w:hAnsi="宋体" w:cs="宋体"/>
                      <w:color w:val="auto"/>
                      <w:spacing w:val="6"/>
                      <w:sz w:val="21"/>
                      <w:szCs w:val="21"/>
                      <w:highlight w:val="none"/>
                    </w:rPr>
                    <w:t>米处的</w:t>
                  </w:r>
                  <w:r>
                    <w:rPr>
                      <w:rFonts w:hint="eastAsia" w:ascii="宋体" w:hAnsi="宋体" w:cs="宋体"/>
                      <w:color w:val="auto"/>
                      <w:spacing w:val="6"/>
                      <w:sz w:val="21"/>
                      <w:szCs w:val="21"/>
                      <w:highlight w:val="none"/>
                    </w:rPr>
                    <w:t>昂内·天骄花园和155m处的日兴花园</w:t>
                  </w:r>
                  <w:r>
                    <w:rPr>
                      <w:rFonts w:ascii="宋体" w:hAnsi="宋体" w:cs="宋体"/>
                      <w:color w:val="auto"/>
                      <w:spacing w:val="6"/>
                      <w:sz w:val="21"/>
                      <w:szCs w:val="21"/>
                      <w:highlight w:val="none"/>
                    </w:rPr>
                    <w:t>，项目拟通过采取低噪声路面，同时加强管理，道路限速、设置禁鸣标志等措</w:t>
                  </w:r>
                  <w:r>
                    <w:rPr>
                      <w:rFonts w:hint="eastAsia" w:ascii="宋体" w:hAnsi="宋体" w:cs="宋体"/>
                      <w:color w:val="auto"/>
                      <w:spacing w:val="6"/>
                      <w:sz w:val="21"/>
                      <w:szCs w:val="21"/>
                      <w:highlight w:val="none"/>
                    </w:rPr>
                    <w:t>施进行降噪，进一步减小营运期噪声影响。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4" w:type="dxa"/>
                  <w:vMerge w:val="continue"/>
                  <w:vAlign w:val="center"/>
                </w:tcPr>
                <w:p>
                  <w:pPr>
                    <w:pStyle w:val="23"/>
                    <w:spacing w:line="400" w:lineRule="atLeast"/>
                    <w:jc w:val="center"/>
                    <w:rPr>
                      <w:b/>
                      <w:bCs/>
                      <w:color w:val="auto"/>
                      <w:sz w:val="21"/>
                      <w:szCs w:val="21"/>
                      <w:highlight w:val="none"/>
                    </w:rPr>
                  </w:pPr>
                </w:p>
              </w:tc>
              <w:tc>
                <w:tcPr>
                  <w:tcW w:w="1196" w:type="dxa"/>
                  <w:vAlign w:val="center"/>
                </w:tcPr>
                <w:p>
                  <w:pPr>
                    <w:pStyle w:val="23"/>
                    <w:spacing w:line="400" w:lineRule="atLeast"/>
                    <w:jc w:val="center"/>
                    <w:rPr>
                      <w:rFonts w:ascii="宋体" w:hAnsi="宋体" w:cs="宋体"/>
                      <w:color w:val="auto"/>
                      <w:spacing w:val="5"/>
                      <w:sz w:val="21"/>
                      <w:szCs w:val="21"/>
                      <w:highlight w:val="none"/>
                    </w:rPr>
                  </w:pPr>
                  <w:r>
                    <w:rPr>
                      <w:rFonts w:hint="eastAsia" w:ascii="宋体" w:hAnsi="宋体" w:cs="宋体"/>
                      <w:color w:val="auto"/>
                      <w:spacing w:val="5"/>
                      <w:sz w:val="21"/>
                      <w:szCs w:val="21"/>
                      <w:highlight w:val="none"/>
                    </w:rPr>
                    <w:t>大气环境</w:t>
                  </w:r>
                </w:p>
              </w:tc>
              <w:tc>
                <w:tcPr>
                  <w:tcW w:w="6778" w:type="dxa"/>
                  <w:vAlign w:val="center"/>
                </w:tcPr>
                <w:p>
                  <w:pPr>
                    <w:pStyle w:val="23"/>
                    <w:spacing w:line="400" w:lineRule="atLeast"/>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施工期：对施工场地洒水，设置施工围挡；材料堆场设置远离环境空气敏感点，料堆有蓬布遮盖；对于扬尘较大的路面和建筑场地做到经常洒水。限制车速、路面清洁；运输车辆遮盖蓬布，运送土方时应适量洒水，以减少运输过程中的扬尘量；沿线围挡增设喷淋设施，场内增设雾炮等设施，高峰时段需保持开启，防止扬尘。</w:t>
                  </w:r>
                </w:p>
                <w:p>
                  <w:pPr>
                    <w:pStyle w:val="23"/>
                    <w:spacing w:line="400" w:lineRule="atLeast"/>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营运期：项目沿线不设服务设施，大气污染物主要来自汽车尾气，影</w:t>
                  </w:r>
                </w:p>
                <w:p>
                  <w:pPr>
                    <w:pStyle w:val="23"/>
                    <w:spacing w:line="400" w:lineRule="atLeast"/>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响轻微。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4" w:type="dxa"/>
                  <w:vMerge w:val="continue"/>
                  <w:vAlign w:val="center"/>
                </w:tcPr>
                <w:p>
                  <w:pPr>
                    <w:pStyle w:val="23"/>
                    <w:spacing w:line="400" w:lineRule="atLeast"/>
                    <w:jc w:val="center"/>
                    <w:rPr>
                      <w:b/>
                      <w:bCs/>
                      <w:color w:val="auto"/>
                      <w:sz w:val="21"/>
                      <w:szCs w:val="21"/>
                      <w:highlight w:val="none"/>
                    </w:rPr>
                  </w:pPr>
                </w:p>
              </w:tc>
              <w:tc>
                <w:tcPr>
                  <w:tcW w:w="1196" w:type="dxa"/>
                  <w:vAlign w:val="center"/>
                </w:tcPr>
                <w:p>
                  <w:pPr>
                    <w:pStyle w:val="23"/>
                    <w:spacing w:line="400" w:lineRule="atLeast"/>
                    <w:jc w:val="center"/>
                    <w:rPr>
                      <w:rFonts w:ascii="宋体" w:hAnsi="宋体" w:cs="宋体"/>
                      <w:color w:val="auto"/>
                      <w:spacing w:val="5"/>
                      <w:sz w:val="21"/>
                      <w:szCs w:val="21"/>
                      <w:highlight w:val="none"/>
                    </w:rPr>
                  </w:pPr>
                  <w:r>
                    <w:rPr>
                      <w:rFonts w:hint="eastAsia" w:ascii="宋体" w:hAnsi="宋体" w:cs="宋体"/>
                      <w:color w:val="auto"/>
                      <w:spacing w:val="5"/>
                      <w:sz w:val="21"/>
                      <w:szCs w:val="21"/>
                      <w:highlight w:val="none"/>
                    </w:rPr>
                    <w:t>固体废物</w:t>
                  </w:r>
                </w:p>
              </w:tc>
              <w:tc>
                <w:tcPr>
                  <w:tcW w:w="6778" w:type="dxa"/>
                  <w:vAlign w:val="center"/>
                </w:tcPr>
                <w:p>
                  <w:pPr>
                    <w:pStyle w:val="23"/>
                    <w:spacing w:line="400" w:lineRule="atLeast"/>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施工期 ：弃土按要求处置，施工垃圾应按分类收集，集中处理，回收利用。生活垃圾由环卫清运。</w:t>
                  </w:r>
                </w:p>
                <w:p>
                  <w:pPr>
                    <w:pStyle w:val="23"/>
                    <w:spacing w:line="400" w:lineRule="atLeast"/>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营运期：本项目无收费站、服务区等，运营期本身基本不产生固体废物，沿途车辆及行人丢在路面的垃圾以及绿化树木的落叶由环卫部门定期清扫，不会对环境造成不良影响。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600" w:type="dxa"/>
                  <w:gridSpan w:val="2"/>
                  <w:vAlign w:val="center"/>
                </w:tcPr>
                <w:p>
                  <w:pPr>
                    <w:pStyle w:val="23"/>
                    <w:spacing w:line="400" w:lineRule="atLeast"/>
                    <w:jc w:val="center"/>
                    <w:rPr>
                      <w:rFonts w:ascii="宋体" w:hAnsi="宋体" w:cs="宋体"/>
                      <w:color w:val="auto"/>
                      <w:spacing w:val="3"/>
                      <w:sz w:val="21"/>
                      <w:szCs w:val="21"/>
                      <w:highlight w:val="none"/>
                    </w:rPr>
                  </w:pPr>
                  <w:r>
                    <w:rPr>
                      <w:rFonts w:hint="eastAsia" w:ascii="宋体" w:hAnsi="宋体" w:cs="宋体"/>
                      <w:color w:val="auto"/>
                      <w:spacing w:val="3"/>
                      <w:sz w:val="21"/>
                      <w:szCs w:val="21"/>
                      <w:highlight w:val="none"/>
                    </w:rPr>
                    <w:t>生态环境</w:t>
                  </w:r>
                </w:p>
              </w:tc>
              <w:tc>
                <w:tcPr>
                  <w:tcW w:w="6778" w:type="dxa"/>
                  <w:vAlign w:val="center"/>
                </w:tcPr>
                <w:p>
                  <w:pPr>
                    <w:pStyle w:val="23"/>
                    <w:spacing w:line="400" w:lineRule="atLeast"/>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本项目不涉及生态红线及生态管控区。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00" w:type="dxa"/>
                  <w:gridSpan w:val="2"/>
                  <w:vAlign w:val="center"/>
                </w:tcPr>
                <w:p>
                  <w:pPr>
                    <w:pStyle w:val="23"/>
                    <w:spacing w:line="400" w:lineRule="atLeast"/>
                    <w:jc w:val="center"/>
                    <w:rPr>
                      <w:rFonts w:ascii="宋体" w:hAnsi="宋体" w:cs="宋体"/>
                      <w:color w:val="auto"/>
                      <w:spacing w:val="3"/>
                      <w:sz w:val="21"/>
                      <w:szCs w:val="21"/>
                      <w:highlight w:val="none"/>
                    </w:rPr>
                  </w:pPr>
                  <w:r>
                    <w:rPr>
                      <w:rFonts w:hint="eastAsia" w:ascii="宋体" w:hAnsi="宋体" w:cs="宋体"/>
                      <w:color w:val="auto"/>
                      <w:spacing w:val="3"/>
                      <w:sz w:val="21"/>
                      <w:szCs w:val="21"/>
                      <w:highlight w:val="none"/>
                    </w:rPr>
                    <w:t>文物保护</w:t>
                  </w:r>
                </w:p>
              </w:tc>
              <w:tc>
                <w:tcPr>
                  <w:tcW w:w="6778" w:type="dxa"/>
                  <w:vAlign w:val="center"/>
                </w:tcPr>
                <w:p>
                  <w:pPr>
                    <w:pStyle w:val="23"/>
                    <w:spacing w:line="400" w:lineRule="atLeast"/>
                    <w:jc w:val="both"/>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00" w:type="dxa"/>
                  <w:gridSpan w:val="2"/>
                  <w:vAlign w:val="center"/>
                </w:tcPr>
                <w:p>
                  <w:pPr>
                    <w:pStyle w:val="23"/>
                    <w:spacing w:line="400" w:lineRule="atLeast"/>
                    <w:jc w:val="center"/>
                    <w:rPr>
                      <w:rFonts w:ascii="宋体" w:hAnsi="宋体" w:cs="宋体"/>
                      <w:color w:val="auto"/>
                      <w:spacing w:val="3"/>
                      <w:sz w:val="21"/>
                      <w:szCs w:val="21"/>
                      <w:highlight w:val="none"/>
                    </w:rPr>
                  </w:pPr>
                  <w:r>
                    <w:rPr>
                      <w:rFonts w:hint="eastAsia" w:ascii="宋体" w:hAnsi="宋体" w:cs="宋体"/>
                      <w:color w:val="auto"/>
                      <w:spacing w:val="3"/>
                      <w:sz w:val="21"/>
                      <w:szCs w:val="21"/>
                      <w:highlight w:val="none"/>
                    </w:rPr>
                    <w:t>全线禁止行为</w:t>
                  </w:r>
                </w:p>
              </w:tc>
              <w:tc>
                <w:tcPr>
                  <w:tcW w:w="6778" w:type="dxa"/>
                  <w:vAlign w:val="center"/>
                </w:tcPr>
                <w:p>
                  <w:pPr>
                    <w:pStyle w:val="23"/>
                    <w:spacing w:line="400" w:lineRule="atLeast"/>
                    <w:jc w:val="both"/>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无</w:t>
                  </w:r>
                </w:p>
              </w:tc>
            </w:tr>
          </w:tbl>
          <w:p>
            <w:pPr>
              <w:pStyle w:val="23"/>
              <w:spacing w:line="360" w:lineRule="auto"/>
              <w:ind w:firstLine="482" w:firstLineChars="200"/>
              <w:jc w:val="both"/>
              <w:rPr>
                <w:b/>
                <w:bCs/>
                <w:color w:val="auto"/>
                <w:highlight w:val="none"/>
              </w:rPr>
            </w:pPr>
            <w:r>
              <w:rPr>
                <w:b/>
                <w:bCs/>
                <w:color w:val="auto"/>
                <w:highlight w:val="none"/>
              </w:rPr>
              <w:t>二、工程方案概述：</w:t>
            </w:r>
          </w:p>
          <w:p>
            <w:pPr>
              <w:adjustRightInd w:val="0"/>
              <w:snapToGrid w:val="0"/>
              <w:spacing w:line="360" w:lineRule="auto"/>
              <w:rPr>
                <w:b/>
                <w:color w:val="auto"/>
                <w:sz w:val="24"/>
                <w:highlight w:val="none"/>
              </w:rPr>
            </w:pPr>
            <w:r>
              <w:rPr>
                <w:rFonts w:hint="eastAsia"/>
                <w:b/>
                <w:color w:val="auto"/>
                <w:sz w:val="24"/>
                <w:highlight w:val="none"/>
              </w:rPr>
              <w:t>1、道路工程</w:t>
            </w:r>
          </w:p>
          <w:p>
            <w:pPr>
              <w:adjustRightInd w:val="0"/>
              <w:snapToGrid w:val="0"/>
              <w:spacing w:line="360" w:lineRule="auto"/>
              <w:ind w:firstLine="482" w:firstLineChars="200"/>
              <w:rPr>
                <w:rFonts w:hint="eastAsia" w:eastAsia="宋体"/>
                <w:b/>
                <w:color w:val="auto"/>
                <w:sz w:val="24"/>
                <w:highlight w:val="none"/>
                <w:lang w:val="en-US" w:eastAsia="zh-CN"/>
              </w:rPr>
            </w:pPr>
            <w:r>
              <w:rPr>
                <w:rFonts w:hint="eastAsia"/>
                <w:b/>
                <w:color w:val="auto"/>
                <w:sz w:val="24"/>
                <w:highlight w:val="none"/>
              </w:rPr>
              <w:t>（1）道路平面设计</w:t>
            </w:r>
            <w:r>
              <w:rPr>
                <w:rFonts w:hint="eastAsia"/>
                <w:b/>
                <w:color w:val="auto"/>
                <w:sz w:val="24"/>
                <w:highlight w:val="none"/>
                <w:lang w:val="en-US" w:eastAsia="zh-CN"/>
              </w:rPr>
              <w:t xml:space="preserve"> </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扬东路工程西起园区界外塘河，向东下穿苏嘉杭高速高架桥，东至扬帆路，路线全长约0.35km，双向四车道，四幅路。苏嘉杭高速下，人行道范围内有高架桥桥墩，人行道局部拓宽，满足通行宽度要求。沿线交叉口扬帆路交叉口为十字交叉口，交叉口西侧渠化为三进三出。根据与公交部门对接成果，沿线不设置公交站台。</w:t>
            </w:r>
          </w:p>
          <w:p>
            <w:pPr>
              <w:adjustRightInd w:val="0"/>
              <w:snapToGrid w:val="0"/>
              <w:spacing w:line="360" w:lineRule="auto"/>
              <w:ind w:firstLine="482" w:firstLineChars="200"/>
              <w:rPr>
                <w:b/>
                <w:color w:val="auto"/>
                <w:sz w:val="24"/>
                <w:highlight w:val="none"/>
              </w:rPr>
            </w:pPr>
            <w:r>
              <w:rPr>
                <w:b/>
                <w:color w:val="auto"/>
                <w:sz w:val="24"/>
                <w:highlight w:val="none"/>
              </w:rPr>
              <w:t>（</w:t>
            </w:r>
            <w:r>
              <w:rPr>
                <w:rFonts w:hint="eastAsia"/>
                <w:b/>
                <w:color w:val="auto"/>
                <w:sz w:val="24"/>
                <w:highlight w:val="none"/>
              </w:rPr>
              <w:t>2</w:t>
            </w:r>
            <w:r>
              <w:rPr>
                <w:b/>
                <w:color w:val="auto"/>
                <w:sz w:val="24"/>
                <w:highlight w:val="none"/>
              </w:rPr>
              <w:t>）纵断面设计</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纵断面设计原则：</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1、尽量采用技术标准中较高的指标；</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2、合理取用设计标高，满足防洪标高要求，与沿线地块进出衔接平顺；</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3、注重平纵面线形的组合设计；</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 xml:space="preserve">道路设计标高为路中心标高，高程系统为 85 年国家高程基准。道路标高主要受以下因素控制： </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1、 相交道路现状标高、设计标高；</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2、道路满足防洪标高3.12m（局部衔接接扬帆路现状道路段不满足）；</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3、道路最小纵坡为0.3%。</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4、满足外塘河东西两侧游步道标高及净空，步道标高3.12m，净空≮2.5m；</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5、满足外塘河航道要求，根据《江苏省内河航道技术等级批复文件汇编》苏虞东线最高通航为1.82（85高程），因此中孔通航梁底标高按不低于5.32米控制；</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6、下穿苏嘉杭高速净空要求，道路净空≮5m。</w:t>
            </w:r>
          </w:p>
          <w:p>
            <w:pPr>
              <w:adjustRightInd w:val="0"/>
              <w:snapToGrid w:val="0"/>
              <w:spacing w:line="360" w:lineRule="auto"/>
              <w:ind w:firstLine="482" w:firstLineChars="200"/>
              <w:rPr>
                <w:b/>
                <w:color w:val="auto"/>
                <w:sz w:val="24"/>
                <w:highlight w:val="none"/>
              </w:rPr>
            </w:pPr>
            <w:r>
              <w:rPr>
                <w:b/>
                <w:color w:val="auto"/>
                <w:sz w:val="24"/>
                <w:highlight w:val="none"/>
              </w:rPr>
              <w:t>（</w:t>
            </w:r>
            <w:r>
              <w:rPr>
                <w:rFonts w:hint="eastAsia"/>
                <w:b/>
                <w:color w:val="auto"/>
                <w:sz w:val="24"/>
                <w:highlight w:val="none"/>
              </w:rPr>
              <w:t>3</w:t>
            </w:r>
            <w:r>
              <w:rPr>
                <w:b/>
                <w:color w:val="auto"/>
                <w:sz w:val="24"/>
                <w:highlight w:val="none"/>
              </w:rPr>
              <w:t>）横断面方案</w:t>
            </w:r>
          </w:p>
          <w:p>
            <w:pPr>
              <w:pStyle w:val="3"/>
              <w:spacing w:line="360" w:lineRule="auto"/>
              <w:ind w:firstLine="480"/>
              <w:rPr>
                <w:bCs/>
                <w:color w:val="auto"/>
                <w:sz w:val="24"/>
                <w:highlight w:val="none"/>
              </w:rPr>
            </w:pPr>
            <w:r>
              <w:rPr>
                <w:rFonts w:hint="eastAsia"/>
                <w:bCs/>
                <w:color w:val="auto"/>
                <w:sz w:val="24"/>
                <w:highlight w:val="none"/>
              </w:rPr>
              <w:t>标准段路幅总宽32m，四幅式断面，其中机动车道2×7.4 米，非机动车道2×3米，侧分带2×1.6米，中分带2米，人行道2×3米。</w:t>
            </w:r>
          </w:p>
          <w:p>
            <w:pPr>
              <w:pStyle w:val="3"/>
              <w:spacing w:line="360" w:lineRule="auto"/>
              <w:ind w:firstLine="480"/>
              <w:rPr>
                <w:bCs/>
                <w:color w:val="auto"/>
                <w:sz w:val="24"/>
                <w:highlight w:val="none"/>
              </w:rPr>
            </w:pPr>
            <w:r>
              <w:rPr>
                <w:rFonts w:hint="eastAsia"/>
                <w:bCs/>
                <w:color w:val="auto"/>
                <w:sz w:val="24"/>
                <w:highlight w:val="none"/>
              </w:rPr>
              <w:t>路拱均采用直线型，车行道路面横坡为 2%（桥梁段为降低桥面标高，横坡为 1%），坡向道路外侧。人行道横坡为 1.5%，坡向道路中心。</w:t>
            </w:r>
          </w:p>
          <w:p>
            <w:pPr>
              <w:pStyle w:val="3"/>
              <w:spacing w:line="360" w:lineRule="auto"/>
              <w:ind w:firstLine="480"/>
              <w:rPr>
                <w:bCs/>
                <w:color w:val="auto"/>
                <w:sz w:val="24"/>
                <w:highlight w:val="none"/>
              </w:rPr>
            </w:pPr>
            <w:r>
              <w:rPr>
                <w:rFonts w:hint="eastAsia"/>
                <w:bCs/>
                <w:color w:val="auto"/>
                <w:sz w:val="24"/>
                <w:highlight w:val="none"/>
              </w:rPr>
              <w:t>人行道内侧设置 1.6×2.5 米宽树穴。</w:t>
            </w:r>
          </w:p>
          <w:p>
            <w:pPr>
              <w:adjustRightInd w:val="0"/>
              <w:snapToGrid w:val="0"/>
              <w:spacing w:line="360" w:lineRule="auto"/>
              <w:jc w:val="center"/>
              <w:rPr>
                <w:color w:val="auto"/>
                <w:highlight w:val="none"/>
              </w:rPr>
            </w:pPr>
            <w:r>
              <w:rPr>
                <w:color w:val="auto"/>
                <w:highlight w:val="none"/>
              </w:rPr>
              <w:drawing>
                <wp:inline distT="0" distB="0" distL="114300" distR="114300">
                  <wp:extent cx="5335270" cy="3316605"/>
                  <wp:effectExtent l="0" t="0" r="17780" b="171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cstate="print"/>
                          <a:stretch>
                            <a:fillRect/>
                          </a:stretch>
                        </pic:blipFill>
                        <pic:spPr>
                          <a:xfrm>
                            <a:off x="0" y="0"/>
                            <a:ext cx="5335270" cy="3316605"/>
                          </a:xfrm>
                          <a:prstGeom prst="rect">
                            <a:avLst/>
                          </a:prstGeom>
                          <a:noFill/>
                          <a:ln>
                            <a:noFill/>
                          </a:ln>
                        </pic:spPr>
                      </pic:pic>
                    </a:graphicData>
                  </a:graphic>
                </wp:inline>
              </w:drawing>
            </w:r>
          </w:p>
          <w:p>
            <w:pPr>
              <w:pStyle w:val="3"/>
              <w:spacing w:line="360" w:lineRule="auto"/>
              <w:ind w:firstLine="422"/>
              <w:jc w:val="center"/>
              <w:rPr>
                <w:b/>
                <w:bCs/>
                <w:color w:val="auto"/>
                <w:szCs w:val="21"/>
                <w:highlight w:val="none"/>
              </w:rPr>
            </w:pPr>
            <w:r>
              <w:rPr>
                <w:rFonts w:hint="eastAsia"/>
                <w:b/>
                <w:bCs/>
                <w:color w:val="auto"/>
                <w:szCs w:val="21"/>
                <w:highlight w:val="none"/>
              </w:rPr>
              <w:t>图2-3  标准横断面图</w:t>
            </w:r>
          </w:p>
          <w:p>
            <w:pPr>
              <w:adjustRightInd w:val="0"/>
              <w:snapToGrid w:val="0"/>
              <w:spacing w:line="360" w:lineRule="auto"/>
              <w:ind w:firstLine="482" w:firstLineChars="200"/>
              <w:rPr>
                <w:bCs/>
                <w:color w:val="auto"/>
                <w:sz w:val="24"/>
                <w:highlight w:val="none"/>
              </w:rPr>
            </w:pPr>
            <w:r>
              <w:rPr>
                <w:b/>
                <w:color w:val="auto"/>
                <w:sz w:val="24"/>
                <w:highlight w:val="none"/>
              </w:rPr>
              <w:t>（</w:t>
            </w:r>
            <w:r>
              <w:rPr>
                <w:rFonts w:hint="eastAsia"/>
                <w:b/>
                <w:color w:val="auto"/>
                <w:sz w:val="24"/>
                <w:highlight w:val="none"/>
              </w:rPr>
              <w:t>4</w:t>
            </w:r>
            <w:r>
              <w:rPr>
                <w:b/>
                <w:color w:val="auto"/>
                <w:sz w:val="24"/>
                <w:highlight w:val="none"/>
              </w:rPr>
              <w:t>）</w:t>
            </w:r>
            <w:r>
              <w:rPr>
                <w:rFonts w:hint="eastAsia"/>
                <w:b/>
                <w:color w:val="auto"/>
                <w:sz w:val="24"/>
                <w:highlight w:val="none"/>
              </w:rPr>
              <w:t>路基处理</w:t>
            </w:r>
            <w:r>
              <w:rPr>
                <w:b/>
                <w:color w:val="auto"/>
                <w:sz w:val="24"/>
                <w:highlight w:val="none"/>
              </w:rPr>
              <w:t>方案</w:t>
            </w:r>
          </w:p>
          <w:p>
            <w:pPr>
              <w:pStyle w:val="3"/>
              <w:spacing w:line="360" w:lineRule="auto"/>
              <w:ind w:firstLine="480"/>
              <w:rPr>
                <w:bCs/>
                <w:color w:val="auto"/>
                <w:sz w:val="24"/>
                <w:highlight w:val="none"/>
              </w:rPr>
            </w:pPr>
            <w:r>
              <w:rPr>
                <w:rFonts w:hint="eastAsia"/>
                <w:bCs/>
                <w:color w:val="auto"/>
                <w:sz w:val="24"/>
                <w:highlight w:val="none"/>
              </w:rPr>
              <w:t>根据周边道路钻探资料显示，道路用地沿线表层为杂填土及素填土，其下为承载力较高、工程性能良好的粘土，可作为路基的天然持力层。</w:t>
            </w:r>
          </w:p>
          <w:p>
            <w:pPr>
              <w:pStyle w:val="3"/>
              <w:spacing w:line="360" w:lineRule="auto"/>
              <w:ind w:firstLine="480"/>
              <w:rPr>
                <w:bCs/>
                <w:color w:val="auto"/>
                <w:sz w:val="24"/>
                <w:highlight w:val="none"/>
              </w:rPr>
            </w:pPr>
            <w:r>
              <w:rPr>
                <w:rFonts w:hint="eastAsia"/>
                <w:bCs/>
                <w:color w:val="auto"/>
                <w:sz w:val="24"/>
                <w:highlight w:val="none"/>
              </w:rPr>
              <w:t>道路路基处理方式为：</w:t>
            </w:r>
          </w:p>
          <w:p>
            <w:pPr>
              <w:pStyle w:val="3"/>
              <w:spacing w:line="360" w:lineRule="auto"/>
              <w:ind w:firstLine="480"/>
              <w:rPr>
                <w:bCs/>
                <w:color w:val="auto"/>
                <w:sz w:val="24"/>
                <w:highlight w:val="none"/>
              </w:rPr>
            </w:pPr>
            <w:r>
              <w:rPr>
                <w:rFonts w:hint="eastAsia"/>
                <w:bCs/>
                <w:color w:val="auto"/>
                <w:sz w:val="24"/>
                <w:highlight w:val="none"/>
              </w:rPr>
              <w:t>新建道路路基处理方式为：车行道路槽下需彻底挖除杂填土及素填土，然后采用≥40cm，6%灰土填筑至混行车道路槽下80cm，混行车道路槽下0~80厘米采用8%灰土填筑。人行道挖方段路面结构下0~40cm采用8%石灰土填筑；填方段，挖除原地面的杂填土20cm，然后用6%灰土回填至结构下40cm，填筑不小于40cm 厚%灰土。</w:t>
            </w:r>
          </w:p>
          <w:p>
            <w:pPr>
              <w:adjustRightInd w:val="0"/>
              <w:snapToGrid w:val="0"/>
              <w:spacing w:line="360" w:lineRule="auto"/>
              <w:ind w:firstLine="482" w:firstLineChars="200"/>
              <w:rPr>
                <w:b/>
                <w:color w:val="auto"/>
                <w:sz w:val="24"/>
                <w:highlight w:val="none"/>
              </w:rPr>
            </w:pPr>
            <w:r>
              <w:rPr>
                <w:b/>
                <w:color w:val="auto"/>
                <w:sz w:val="24"/>
                <w:highlight w:val="none"/>
              </w:rPr>
              <w:t>（</w:t>
            </w:r>
            <w:r>
              <w:rPr>
                <w:rFonts w:hint="eastAsia"/>
                <w:b/>
                <w:color w:val="auto"/>
                <w:sz w:val="24"/>
                <w:highlight w:val="none"/>
              </w:rPr>
              <w:t>5</w:t>
            </w:r>
            <w:r>
              <w:rPr>
                <w:b/>
                <w:color w:val="auto"/>
                <w:sz w:val="24"/>
                <w:highlight w:val="none"/>
              </w:rPr>
              <w:t>）</w:t>
            </w:r>
            <w:r>
              <w:rPr>
                <w:rFonts w:hint="eastAsia"/>
                <w:b/>
                <w:color w:val="auto"/>
                <w:sz w:val="24"/>
                <w:highlight w:val="none"/>
              </w:rPr>
              <w:t>路面</w:t>
            </w:r>
            <w:r>
              <w:rPr>
                <w:b/>
                <w:color w:val="auto"/>
                <w:sz w:val="24"/>
                <w:highlight w:val="none"/>
              </w:rPr>
              <w:t>方案</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1、设计原则</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⑴、根据道路等级与使用要求，遵循因地制宜、合理选材、方便施工、利于养护的原则，结合本地条件与实践经验，对路基、路面进行综合设计，以达到技术经济合理、安全适用的目的。</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⑵、沥青砼路面结构按土基和垫层稳定、基层有足够强度、面层有较高抗疲劳度、抗变形和抗滑能力等要求进行设计。结构设计以双圆均布垂直和水平荷载作用下的三层弹性体系理论为基础，采用路表容许回弹弯沉、半刚性容许弯拉应力及沥青层底容许剪应力三项指标。层间结合紧密稳定，以保证结构的整体性和应力传布的连续性。</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⑶、路面结构选材应尽量做到在满足交通功能需求的同时，又能更好的与周边环境协调统一。</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2、荷载标准</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路面设计以轴载BZZ－100KN的双轮单轴为标准轴载。各轮轮载为25KN，轮胎气压0.7MPa，单轮轮迹当量圆半径r＝10.65cm。双轮中心间距3r。</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3、路面结构</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 xml:space="preserve">根据路面性能要求和选用的材料，借鉴周边道路的建设经验，采用如下的路面结构： </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具体路面结构如下：</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车行道路面结构</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4 厘米 细粒式沥青砼 SUP-13（SBS 改性沥青，掺抗剥落剂） 粘层油</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8 厘米 中粒式沥青砼 AC-20C（SBS 改性沥青，掺抗车辙剂）</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0.6 厘米 乳化沥青封层</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48 厘米 水泥稳定碎石基层</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人行道路面结构</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30×30×2 厘米 陶瓷仿石透水砖</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3 厘米 M10 水泥砂浆</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15 厘米 C20 水泥砼</w:t>
            </w:r>
          </w:p>
          <w:p>
            <w:pPr>
              <w:adjustRightInd w:val="0"/>
              <w:snapToGrid w:val="0"/>
              <w:spacing w:line="360" w:lineRule="auto"/>
              <w:rPr>
                <w:b/>
                <w:color w:val="auto"/>
                <w:sz w:val="24"/>
                <w:highlight w:val="none"/>
              </w:rPr>
            </w:pPr>
            <w:r>
              <w:rPr>
                <w:b/>
                <w:color w:val="auto"/>
                <w:sz w:val="24"/>
                <w:highlight w:val="none"/>
              </w:rPr>
              <w:t>2、桥梁工程</w:t>
            </w:r>
          </w:p>
          <w:p>
            <w:pPr>
              <w:adjustRightInd w:val="0"/>
              <w:snapToGrid w:val="0"/>
              <w:spacing w:line="360" w:lineRule="auto"/>
              <w:ind w:firstLine="482" w:firstLineChars="200"/>
              <w:rPr>
                <w:bCs/>
                <w:color w:val="auto"/>
                <w:sz w:val="24"/>
                <w:highlight w:val="none"/>
              </w:rPr>
            </w:pPr>
            <w:r>
              <w:rPr>
                <w:rFonts w:hint="eastAsia"/>
                <w:b/>
                <w:color w:val="auto"/>
                <w:sz w:val="24"/>
                <w:highlight w:val="none"/>
              </w:rPr>
              <w:t>1、桥梁总体概况</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扬东路西延位于苏州工业园区金鸡湖商务区，园区与相城区分界处，为园区西北门户形象道路，规划定位为二级公路（兼城市次干路），双向四车道，四幅路断面，道路标准断面32m。本次设计范围东</w:t>
            </w:r>
            <w:r>
              <w:rPr>
                <w:rFonts w:hint="eastAsia"/>
                <w:bCs/>
                <w:color w:val="auto"/>
                <w:sz w:val="24"/>
                <w:highlight w:val="none"/>
                <w:lang w:val="en-US" w:eastAsia="zh-CN"/>
              </w:rPr>
              <w:t>起</w:t>
            </w:r>
            <w:r>
              <w:rPr>
                <w:rFonts w:hint="eastAsia"/>
                <w:bCs/>
                <w:color w:val="auto"/>
                <w:sz w:val="24"/>
                <w:highlight w:val="none"/>
              </w:rPr>
              <w:t>扬帆路交叉口西侧，沿线跨越外塘河，下穿苏嘉杭高速，西</w:t>
            </w:r>
            <w:r>
              <w:rPr>
                <w:rFonts w:hint="eastAsia"/>
                <w:bCs/>
                <w:color w:val="auto"/>
                <w:sz w:val="24"/>
                <w:highlight w:val="none"/>
                <w:lang w:val="en-US" w:eastAsia="zh-CN"/>
              </w:rPr>
              <w:t>至</w:t>
            </w:r>
            <w:r>
              <w:rPr>
                <w:rFonts w:hint="eastAsia"/>
                <w:bCs/>
                <w:color w:val="auto"/>
                <w:sz w:val="24"/>
                <w:highlight w:val="none"/>
              </w:rPr>
              <w:t>园区-相城区界，全长约0.35km，为新建项目。沿线跨越外塘河，为规划旅游航道，规划河宽53.08~54.4m，拟建一座桥梁2×20+35+2×25m，桥梁两侧边孔预留慢行下穿条件。该桥梁跨园区与相城区界，本次评价范围仅为园区段，桥梁东侧园区段驳岸已按规划实施，本次无需调整。</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桥位处外塘河即苏虞东线现状无通航船只，河道东侧驳岸已按规划实施，西侧需根据规划新建河道驳岸。现状河宽为 53.08~54.4m。</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外塘河为规划旅游航道，跨河建筑物净高 3.5 米，净宽 30 米。根据《江苏省内河航道技术等级批复文件汇编》苏虞东线最高通航为1.82（85 高程），因此中孔通航梁底标高按不低于5.32米控制，实际最低为5.458米。</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本工程由于以区界划分，桥梁可研工程量计至桥跨跨过区界，即跨径35+2×25m。</w:t>
            </w:r>
          </w:p>
          <w:p>
            <w:pPr>
              <w:adjustRightInd w:val="0"/>
              <w:snapToGrid w:val="0"/>
              <w:spacing w:line="360" w:lineRule="auto"/>
              <w:ind w:firstLine="482" w:firstLineChars="200"/>
              <w:rPr>
                <w:b/>
                <w:color w:val="auto"/>
                <w:sz w:val="24"/>
                <w:highlight w:val="none"/>
              </w:rPr>
            </w:pPr>
            <w:r>
              <w:rPr>
                <w:rFonts w:hint="eastAsia"/>
                <w:b/>
                <w:color w:val="auto"/>
                <w:sz w:val="24"/>
                <w:highlight w:val="none"/>
              </w:rPr>
              <w:t>2、桥梁设计原则</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1）遵循“安全、耐久、适用、环保、经济和美观”的设计原则。</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2）桥梁总体布置合理。桥梁总体布置需综合道路设计、建设条件和周边环境进行合理布置。</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3）桥型结构方案合理。结构设计参数化，技术先进，体现以人为本的设计理念。</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4）新建桥梁需满足道路、水利要求的同时，尽量减小对周边地块的影响。</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5）注重经济性。满足安全的前提下控制材料指标，提升工程经济性。</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6）注重桥梁景观。建设符合苏州工业园区气质的“现代、轻盈、洋气、标志性”的景观桥梁。</w:t>
            </w:r>
          </w:p>
          <w:p>
            <w:pPr>
              <w:adjustRightInd w:val="0"/>
              <w:snapToGrid w:val="0"/>
              <w:spacing w:line="360" w:lineRule="auto"/>
              <w:ind w:firstLine="482" w:firstLineChars="200"/>
              <w:rPr>
                <w:b/>
                <w:color w:val="auto"/>
                <w:sz w:val="24"/>
                <w:highlight w:val="none"/>
              </w:rPr>
            </w:pPr>
            <w:r>
              <w:rPr>
                <w:rFonts w:hint="eastAsia"/>
                <w:b/>
                <w:color w:val="auto"/>
                <w:sz w:val="24"/>
                <w:highlight w:val="none"/>
              </w:rPr>
              <w:t>3、桥梁方案</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（1）桥梁总体设计</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扬东路跨越外塘河需新建一座桥梁，外塘河规划河宽约53.08~54.4m，桥梁跨径布置为2×20+35+2×25m，桥梁宽度同道路宽为32米。桥梁范围内相城区侧驳岸按规划线型新建。</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桥梁上部结构采用20米预制预应力板梁和25米、35米预应力小箱梁，其中20米板梁95厘米高, 25米预应力小箱梁140厘米高，35米预应力小箱梁180厘米高。</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桥梁下部结构桥墩采用桩柱式桥墩，桥台采用重力式桥台，墩台均为钻孔桩基础。</w:t>
            </w:r>
          </w:p>
          <w:p>
            <w:pPr>
              <w:adjustRightInd w:val="0"/>
              <w:snapToGrid w:val="0"/>
              <w:spacing w:line="360" w:lineRule="auto"/>
              <w:ind w:firstLine="420" w:firstLineChars="200"/>
              <w:jc w:val="center"/>
              <w:rPr>
                <w:bCs/>
                <w:color w:val="auto"/>
                <w:sz w:val="24"/>
                <w:highlight w:val="none"/>
              </w:rPr>
            </w:pPr>
            <w:r>
              <w:rPr>
                <w:color w:val="auto"/>
                <w:highlight w:val="none"/>
              </w:rPr>
              <w:drawing>
                <wp:inline distT="0" distB="0" distL="114300" distR="114300">
                  <wp:extent cx="4316095" cy="1296035"/>
                  <wp:effectExtent l="0" t="0" r="8255" b="184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cstate="print"/>
                          <a:stretch>
                            <a:fillRect/>
                          </a:stretch>
                        </pic:blipFill>
                        <pic:spPr>
                          <a:xfrm>
                            <a:off x="0" y="0"/>
                            <a:ext cx="4316095" cy="1296035"/>
                          </a:xfrm>
                          <a:prstGeom prst="rect">
                            <a:avLst/>
                          </a:prstGeom>
                          <a:noFill/>
                          <a:ln>
                            <a:noFill/>
                          </a:ln>
                        </pic:spPr>
                      </pic:pic>
                    </a:graphicData>
                  </a:graphic>
                </wp:inline>
              </w:drawing>
            </w:r>
          </w:p>
          <w:p>
            <w:pPr>
              <w:adjustRightInd w:val="0"/>
              <w:snapToGrid w:val="0"/>
              <w:spacing w:line="360" w:lineRule="auto"/>
              <w:ind w:firstLine="422" w:firstLineChars="200"/>
              <w:jc w:val="center"/>
              <w:rPr>
                <w:bCs/>
                <w:color w:val="auto"/>
                <w:sz w:val="24"/>
                <w:highlight w:val="none"/>
              </w:rPr>
            </w:pPr>
            <w:r>
              <w:rPr>
                <w:rFonts w:hint="eastAsia"/>
                <w:b/>
                <w:bCs/>
                <w:color w:val="auto"/>
                <w:szCs w:val="21"/>
                <w:highlight w:val="none"/>
              </w:rPr>
              <w:t>图2-4 跨外塘河桥立面图</w:t>
            </w:r>
          </w:p>
          <w:p>
            <w:pPr>
              <w:adjustRightInd w:val="0"/>
              <w:snapToGrid w:val="0"/>
              <w:spacing w:line="360" w:lineRule="auto"/>
              <w:ind w:firstLine="422" w:firstLineChars="200"/>
              <w:jc w:val="center"/>
              <w:rPr>
                <w:b/>
                <w:bCs/>
                <w:color w:val="auto"/>
                <w:szCs w:val="21"/>
                <w:highlight w:val="none"/>
              </w:rPr>
            </w:pPr>
            <w:r>
              <w:rPr>
                <w:rFonts w:hint="eastAsia"/>
                <w:b/>
                <w:bCs/>
                <w:color w:val="auto"/>
                <w:szCs w:val="21"/>
                <w:highlight w:val="none"/>
              </w:rPr>
              <w:drawing>
                <wp:inline distT="0" distB="0" distL="114300" distR="114300">
                  <wp:extent cx="3823970" cy="2339975"/>
                  <wp:effectExtent l="0" t="0" r="5080" b="31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cstate="print"/>
                          <a:stretch>
                            <a:fillRect/>
                          </a:stretch>
                        </pic:blipFill>
                        <pic:spPr>
                          <a:xfrm>
                            <a:off x="0" y="0"/>
                            <a:ext cx="3823970" cy="2339975"/>
                          </a:xfrm>
                          <a:prstGeom prst="rect">
                            <a:avLst/>
                          </a:prstGeom>
                          <a:noFill/>
                          <a:ln>
                            <a:noFill/>
                          </a:ln>
                        </pic:spPr>
                      </pic:pic>
                    </a:graphicData>
                  </a:graphic>
                </wp:inline>
              </w:drawing>
            </w:r>
          </w:p>
          <w:p>
            <w:pPr>
              <w:adjustRightInd w:val="0"/>
              <w:snapToGrid w:val="0"/>
              <w:spacing w:line="360" w:lineRule="auto"/>
              <w:ind w:firstLine="422" w:firstLineChars="200"/>
              <w:jc w:val="center"/>
              <w:rPr>
                <w:b/>
                <w:bCs/>
                <w:color w:val="auto"/>
                <w:szCs w:val="21"/>
                <w:highlight w:val="none"/>
              </w:rPr>
            </w:pPr>
            <w:r>
              <w:rPr>
                <w:rFonts w:hint="eastAsia"/>
                <w:b/>
                <w:bCs/>
                <w:color w:val="auto"/>
                <w:szCs w:val="21"/>
                <w:highlight w:val="none"/>
              </w:rPr>
              <w:t>图2-5 跨外塘河桥主跨断面图</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（2）桥梁附属结构：</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①支座：20m板梁采用橡胶圆板支座，小箱梁采用盆式支座。</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②伸缩缝：桥墩顶采用桥面连续，桥台处车行道采用GQF-C-80型钢伸缩缝，人行</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道采用盖板型伸缩缝。</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③抗震挡块：桥台台帽和桥墩每幅盖梁两侧均设混凝土抗震挡块。</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④桥头搭板：机动车道以及非机动车道宽度范围内设置30cm厚搭板，长度为6米，为现浇。</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⑤人行道栏杆：采用金属栏杆。</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（3）桥梁施工方案</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为减少施工时对河道行洪及航道通航的影响，桥梁下部结构施工时不断河流。岸上墩台为陆地施工，水中墩台采用水上平台施工。上部结构梁体先工厂预制，然后运至现场吊装，现场施工时均采用架桥机施工。</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（4）桥梁实施风险评估</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环境安全</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1、施工时严格遵守国家环境保护法律、法规、条例，制定严格的环境保护管理规定，保护和改善施工现场环境，注意减少扬尘，避免噪声扰民，文明施工。</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2、施工过程中产生的泥浆运输至指定的场所进行处理，设置弃渣排水池，含水率较高的弃渣在排水池中通过排水和蒸发实现固化，严禁直接排入河流。</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3、桥梁施工完毕后，要清理施工现场，以防施工废料等随雨水进入河中。</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施工安全</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1、工程开工前应做好施工组织设计，严格遵守国家现行的安全法律、法规，针对本工程特点，对基坑工程、围堰施工、模板工程及支撑体系、吊装工程、脚手架工程、拆除工程等危险性较大的分部分项工程编制符合国家规定的专项施工方案。</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2、对于超过一定规模的危大工程，施工单位应当组织召开专家论证会对专项施工方案进行论证。</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3、施工前应对沿线影响范围内的建筑物、构筑物及各类现状管线进行详细调查，必要时施工期间应采取相应的保护措施。</w:t>
            </w:r>
          </w:p>
          <w:p>
            <w:pPr>
              <w:numPr>
                <w:ilvl w:val="0"/>
                <w:numId w:val="2"/>
              </w:numPr>
              <w:adjustRightInd w:val="0"/>
              <w:snapToGrid w:val="0"/>
              <w:spacing w:line="360" w:lineRule="auto"/>
              <w:rPr>
                <w:b/>
                <w:color w:val="auto"/>
                <w:sz w:val="24"/>
                <w:highlight w:val="none"/>
              </w:rPr>
            </w:pPr>
            <w:r>
              <w:rPr>
                <w:rFonts w:hint="eastAsia"/>
                <w:b/>
                <w:color w:val="auto"/>
                <w:sz w:val="24"/>
                <w:highlight w:val="none"/>
              </w:rPr>
              <w:t>地下通道工程</w:t>
            </w:r>
          </w:p>
          <w:p>
            <w:pPr>
              <w:adjustRightInd w:val="0"/>
              <w:snapToGrid w:val="0"/>
              <w:spacing w:line="360" w:lineRule="auto"/>
              <w:ind w:firstLine="482" w:firstLineChars="200"/>
              <w:rPr>
                <w:bCs/>
                <w:color w:val="auto"/>
                <w:sz w:val="24"/>
                <w:highlight w:val="none"/>
              </w:rPr>
            </w:pPr>
            <w:r>
              <w:rPr>
                <w:rFonts w:hint="eastAsia"/>
                <w:b/>
                <w:color w:val="auto"/>
                <w:sz w:val="24"/>
                <w:highlight w:val="none"/>
              </w:rPr>
              <w:t>1、地下通道概况</w:t>
            </w:r>
          </w:p>
          <w:p>
            <w:pPr>
              <w:widowControl/>
              <w:spacing w:line="360" w:lineRule="auto"/>
              <w:ind w:firstLine="480" w:firstLineChars="200"/>
              <w:rPr>
                <w:color w:val="auto"/>
                <w:kern w:val="0"/>
                <w:sz w:val="24"/>
                <w:highlight w:val="none"/>
              </w:rPr>
            </w:pPr>
            <w:r>
              <w:rPr>
                <w:rFonts w:hint="eastAsia"/>
                <w:color w:val="auto"/>
                <w:kern w:val="0"/>
                <w:sz w:val="24"/>
                <w:highlight w:val="none"/>
              </w:rPr>
              <w:t>新建地下通道用于道路两侧地块的通行连接。本次仅实施道路范围内的地下通道结构工程。剩余的通道结构，整个通道的路面铺装、装饰及机电工程均由地块建设单位实施。</w:t>
            </w:r>
          </w:p>
          <w:p>
            <w:pPr>
              <w:adjustRightInd w:val="0"/>
              <w:snapToGrid w:val="0"/>
              <w:spacing w:line="360" w:lineRule="auto"/>
              <w:ind w:firstLine="482" w:firstLineChars="200"/>
              <w:rPr>
                <w:b/>
                <w:color w:val="auto"/>
                <w:sz w:val="24"/>
                <w:highlight w:val="none"/>
              </w:rPr>
            </w:pPr>
            <w:r>
              <w:rPr>
                <w:rFonts w:hint="eastAsia"/>
                <w:b/>
                <w:color w:val="auto"/>
                <w:sz w:val="24"/>
                <w:highlight w:val="none"/>
              </w:rPr>
              <w:t>2、地下通道设计原则</w:t>
            </w:r>
          </w:p>
          <w:p>
            <w:pPr>
              <w:widowControl/>
              <w:spacing w:line="360" w:lineRule="auto"/>
              <w:ind w:firstLine="480" w:firstLineChars="200"/>
              <w:rPr>
                <w:color w:val="auto"/>
                <w:kern w:val="0"/>
                <w:sz w:val="24"/>
                <w:highlight w:val="none"/>
              </w:rPr>
            </w:pPr>
            <w:r>
              <w:rPr>
                <w:rFonts w:hint="eastAsia"/>
                <w:color w:val="auto"/>
                <w:kern w:val="0"/>
                <w:sz w:val="24"/>
                <w:highlight w:val="none"/>
              </w:rPr>
              <w:t>1、地下通道总平面布置应在满足功能的前提下，综合考虑城市规划、城市综合交通规划、环境保护和城市景观要求，应处理好地面建筑、地面道路、地下管线、地下构筑物及施工交通组织的关系。</w:t>
            </w:r>
          </w:p>
          <w:p>
            <w:pPr>
              <w:widowControl/>
              <w:spacing w:line="360" w:lineRule="auto"/>
              <w:ind w:firstLine="480" w:firstLineChars="200"/>
              <w:rPr>
                <w:color w:val="auto"/>
                <w:kern w:val="0"/>
                <w:sz w:val="24"/>
                <w:highlight w:val="none"/>
              </w:rPr>
            </w:pPr>
            <w:r>
              <w:rPr>
                <w:rFonts w:hint="eastAsia"/>
                <w:color w:val="auto"/>
                <w:kern w:val="0"/>
                <w:sz w:val="24"/>
                <w:highlight w:val="none"/>
              </w:rPr>
              <w:t>2、地下通道设计应满足安全实用、质量可靠、经济合理、技术先进的要求。</w:t>
            </w:r>
          </w:p>
          <w:p>
            <w:pPr>
              <w:widowControl/>
              <w:spacing w:line="360" w:lineRule="auto"/>
              <w:ind w:firstLine="480" w:firstLineChars="200"/>
              <w:rPr>
                <w:color w:val="auto"/>
                <w:kern w:val="0"/>
                <w:sz w:val="24"/>
                <w:highlight w:val="none"/>
              </w:rPr>
            </w:pPr>
            <w:r>
              <w:rPr>
                <w:rFonts w:hint="eastAsia"/>
                <w:color w:val="auto"/>
                <w:kern w:val="0"/>
                <w:sz w:val="24"/>
                <w:highlight w:val="none"/>
              </w:rPr>
              <w:t>3、地下通道下穿道路需满足道路运营安全需要。</w:t>
            </w:r>
          </w:p>
          <w:p>
            <w:pPr>
              <w:widowControl/>
              <w:spacing w:line="360" w:lineRule="auto"/>
              <w:ind w:firstLine="480" w:firstLineChars="200"/>
              <w:rPr>
                <w:color w:val="auto"/>
                <w:kern w:val="0"/>
                <w:sz w:val="24"/>
                <w:highlight w:val="none"/>
              </w:rPr>
            </w:pPr>
            <w:r>
              <w:rPr>
                <w:rFonts w:hint="eastAsia"/>
                <w:color w:val="auto"/>
                <w:kern w:val="0"/>
                <w:sz w:val="24"/>
                <w:highlight w:val="none"/>
              </w:rPr>
              <w:t>4、地下通道设计应减少施工中和建成后对环境产生的不利影响，并考虑城市规划引起周围环境改变对结构的影响。</w:t>
            </w:r>
          </w:p>
          <w:p>
            <w:pPr>
              <w:widowControl/>
              <w:spacing w:line="360" w:lineRule="auto"/>
              <w:ind w:firstLine="480" w:firstLineChars="200"/>
              <w:rPr>
                <w:color w:val="auto"/>
                <w:kern w:val="0"/>
                <w:sz w:val="24"/>
                <w:highlight w:val="none"/>
              </w:rPr>
            </w:pPr>
            <w:r>
              <w:rPr>
                <w:rFonts w:hint="eastAsia"/>
                <w:color w:val="auto"/>
                <w:kern w:val="0"/>
                <w:sz w:val="24"/>
                <w:highlight w:val="none"/>
              </w:rPr>
              <w:t>5、地下通道设计应贯彻国家有关技术经济政策，积极慎重地采用新技术、新材料、新设备、新工艺。系统设备选型在满足功能要求的前提下，应优先选用高效、环保、节能的设备。</w:t>
            </w:r>
          </w:p>
          <w:p>
            <w:pPr>
              <w:widowControl/>
              <w:spacing w:line="360" w:lineRule="auto"/>
              <w:ind w:firstLine="480" w:firstLineChars="200"/>
              <w:rPr>
                <w:color w:val="auto"/>
                <w:kern w:val="0"/>
                <w:sz w:val="24"/>
                <w:highlight w:val="none"/>
              </w:rPr>
            </w:pPr>
            <w:r>
              <w:rPr>
                <w:rFonts w:hint="eastAsia"/>
                <w:color w:val="auto"/>
                <w:kern w:val="0"/>
                <w:sz w:val="24"/>
                <w:highlight w:val="none"/>
              </w:rPr>
              <w:t>6、地下通道横断面设计应根据道路类别合理确定建筑限界，集中利用横断面空间。建筑防灾设计的原则是以防为主、防消结合。根据以人为本的思想，设计确保道路行车安全、结构防护安全、人员疏散安全的防灾措施。</w:t>
            </w:r>
          </w:p>
          <w:p>
            <w:pPr>
              <w:widowControl/>
              <w:spacing w:line="360" w:lineRule="auto"/>
              <w:ind w:firstLine="480" w:firstLineChars="200"/>
              <w:rPr>
                <w:color w:val="auto"/>
                <w:kern w:val="0"/>
                <w:sz w:val="24"/>
                <w:highlight w:val="none"/>
              </w:rPr>
            </w:pPr>
            <w:r>
              <w:rPr>
                <w:rFonts w:hint="eastAsia"/>
                <w:color w:val="auto"/>
                <w:kern w:val="0"/>
                <w:sz w:val="24"/>
                <w:highlight w:val="none"/>
              </w:rPr>
              <w:t>7、地下通道承重结构体的耐火极限应符合《建筑设计防火规范》GB50016-2014中12.1.3要求。</w:t>
            </w:r>
          </w:p>
          <w:p>
            <w:pPr>
              <w:adjustRightInd w:val="0"/>
              <w:snapToGrid w:val="0"/>
              <w:spacing w:line="360" w:lineRule="auto"/>
              <w:ind w:firstLine="482" w:firstLineChars="200"/>
              <w:rPr>
                <w:b/>
                <w:color w:val="auto"/>
                <w:sz w:val="24"/>
                <w:highlight w:val="none"/>
              </w:rPr>
            </w:pPr>
            <w:r>
              <w:rPr>
                <w:rFonts w:hint="eastAsia"/>
                <w:b/>
                <w:color w:val="auto"/>
                <w:sz w:val="24"/>
                <w:highlight w:val="none"/>
              </w:rPr>
              <w:t>3、地下通道方案</w:t>
            </w:r>
          </w:p>
          <w:p>
            <w:pPr>
              <w:widowControl/>
              <w:spacing w:line="360" w:lineRule="auto"/>
              <w:ind w:firstLine="480" w:firstLineChars="200"/>
              <w:rPr>
                <w:color w:val="auto"/>
                <w:kern w:val="0"/>
                <w:sz w:val="24"/>
                <w:highlight w:val="none"/>
              </w:rPr>
            </w:pPr>
            <w:r>
              <w:rPr>
                <w:rFonts w:hint="eastAsia"/>
                <w:color w:val="auto"/>
                <w:kern w:val="0"/>
                <w:sz w:val="24"/>
                <w:highlight w:val="none"/>
              </w:rPr>
              <w:t>1、总体设计</w:t>
            </w:r>
          </w:p>
          <w:p>
            <w:pPr>
              <w:widowControl/>
              <w:spacing w:line="360" w:lineRule="auto"/>
              <w:ind w:firstLine="480" w:firstLineChars="200"/>
              <w:rPr>
                <w:color w:val="auto"/>
                <w:kern w:val="0"/>
                <w:sz w:val="24"/>
                <w:highlight w:val="none"/>
              </w:rPr>
            </w:pPr>
            <w:r>
              <w:rPr>
                <w:rFonts w:hint="eastAsia"/>
                <w:color w:val="auto"/>
                <w:kern w:val="0"/>
                <w:sz w:val="24"/>
                <w:highlight w:val="none"/>
              </w:rPr>
              <w:t>本期预留地下通平面总长为41.084m，均为暗埋段。通道两侧地块远期接口标高（结构底板顶面）按-2.7m控制，由于路幅范围内存在规划管线，最低标高（结构底板顶面）按-4.52m控制，通道两头设置0.5m厚封堵墙封堵。通道暗埋段最低点设集水井，集水井处设置1道截水沟，废水可通过边沟和截水沟引入集水井。</w:t>
            </w:r>
          </w:p>
          <w:p>
            <w:pPr>
              <w:pStyle w:val="16"/>
              <w:rPr>
                <w:color w:val="auto"/>
                <w:highlight w:val="none"/>
              </w:rPr>
            </w:pPr>
            <w:r>
              <w:rPr>
                <w:color w:val="auto"/>
                <w:highlight w:val="none"/>
              </w:rPr>
              <w:drawing>
                <wp:inline distT="0" distB="0" distL="114300" distR="114300">
                  <wp:extent cx="5345430" cy="2423160"/>
                  <wp:effectExtent l="0" t="0" r="7620" b="152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4" cstate="print"/>
                          <a:stretch>
                            <a:fillRect/>
                          </a:stretch>
                        </pic:blipFill>
                        <pic:spPr>
                          <a:xfrm>
                            <a:off x="0" y="0"/>
                            <a:ext cx="5345430" cy="2423160"/>
                          </a:xfrm>
                          <a:prstGeom prst="rect">
                            <a:avLst/>
                          </a:prstGeom>
                          <a:noFill/>
                          <a:ln>
                            <a:noFill/>
                          </a:ln>
                        </pic:spPr>
                      </pic:pic>
                    </a:graphicData>
                  </a:graphic>
                </wp:inline>
              </w:drawing>
            </w:r>
          </w:p>
          <w:p>
            <w:pPr>
              <w:adjustRightInd w:val="0"/>
              <w:snapToGrid w:val="0"/>
              <w:spacing w:line="360" w:lineRule="auto"/>
              <w:ind w:firstLine="422" w:firstLineChars="200"/>
              <w:jc w:val="center"/>
              <w:rPr>
                <w:b/>
                <w:bCs/>
                <w:color w:val="auto"/>
                <w:szCs w:val="21"/>
                <w:highlight w:val="none"/>
              </w:rPr>
            </w:pPr>
            <w:r>
              <w:rPr>
                <w:rFonts w:hint="eastAsia"/>
                <w:b/>
                <w:bCs/>
                <w:color w:val="auto"/>
                <w:szCs w:val="21"/>
                <w:highlight w:val="none"/>
              </w:rPr>
              <w:t>图2-6 预留地下联络通道立面图</w:t>
            </w:r>
          </w:p>
          <w:p>
            <w:pPr>
              <w:widowControl/>
              <w:spacing w:line="360" w:lineRule="auto"/>
              <w:ind w:firstLine="480" w:firstLineChars="200"/>
              <w:rPr>
                <w:color w:val="auto"/>
                <w:kern w:val="0"/>
                <w:sz w:val="24"/>
                <w:highlight w:val="none"/>
              </w:rPr>
            </w:pPr>
          </w:p>
          <w:p>
            <w:pPr>
              <w:widowControl/>
              <w:spacing w:line="360" w:lineRule="auto"/>
              <w:ind w:firstLine="480" w:firstLineChars="200"/>
              <w:rPr>
                <w:color w:val="auto"/>
                <w:kern w:val="0"/>
                <w:sz w:val="24"/>
                <w:highlight w:val="none"/>
              </w:rPr>
            </w:pPr>
            <w:r>
              <w:rPr>
                <w:rFonts w:hint="eastAsia"/>
                <w:color w:val="auto"/>
                <w:kern w:val="0"/>
                <w:sz w:val="24"/>
                <w:highlight w:val="none"/>
              </w:rPr>
              <w:t>2、横断面设计</w:t>
            </w:r>
          </w:p>
          <w:p>
            <w:pPr>
              <w:widowControl/>
              <w:spacing w:line="360" w:lineRule="auto"/>
              <w:ind w:firstLine="480" w:firstLineChars="200"/>
              <w:rPr>
                <w:color w:val="auto"/>
                <w:kern w:val="0"/>
                <w:sz w:val="24"/>
                <w:highlight w:val="none"/>
              </w:rPr>
            </w:pPr>
            <w:r>
              <w:rPr>
                <w:rFonts w:hint="eastAsia"/>
                <w:color w:val="auto"/>
                <w:kern w:val="0"/>
                <w:sz w:val="24"/>
                <w:highlight w:val="none"/>
              </w:rPr>
              <w:t>经地块建设单位提资，通道内净尺寸为10.6×4.2m。本地下通道工程仅通行小客车，车辆通行界限按7×3.2m控制。车道两侧设人行道，行人通行界限按1.5×2.5m控制。界限两侧预留15cm、上方预留65cm的装饰空间和施工误差。具体断面布置如下</w:t>
            </w:r>
          </w:p>
          <w:p>
            <w:pPr>
              <w:pStyle w:val="16"/>
              <w:rPr>
                <w:color w:val="auto"/>
                <w:sz w:val="24"/>
                <w:szCs w:val="24"/>
                <w:highlight w:val="none"/>
              </w:rPr>
            </w:pPr>
            <w:r>
              <w:rPr>
                <w:color w:val="auto"/>
                <w:highlight w:val="none"/>
              </w:rPr>
              <w:drawing>
                <wp:inline distT="0" distB="0" distL="114300" distR="114300">
                  <wp:extent cx="2796540" cy="1979930"/>
                  <wp:effectExtent l="0" t="0" r="3810" b="127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5" cstate="print"/>
                          <a:stretch>
                            <a:fillRect/>
                          </a:stretch>
                        </pic:blipFill>
                        <pic:spPr>
                          <a:xfrm>
                            <a:off x="0" y="0"/>
                            <a:ext cx="2796540" cy="1979930"/>
                          </a:xfrm>
                          <a:prstGeom prst="rect">
                            <a:avLst/>
                          </a:prstGeom>
                          <a:noFill/>
                          <a:ln>
                            <a:noFill/>
                          </a:ln>
                        </pic:spPr>
                      </pic:pic>
                    </a:graphicData>
                  </a:graphic>
                </wp:inline>
              </w:drawing>
            </w:r>
          </w:p>
          <w:p>
            <w:pPr>
              <w:adjustRightInd w:val="0"/>
              <w:snapToGrid w:val="0"/>
              <w:spacing w:line="360" w:lineRule="auto"/>
              <w:ind w:firstLine="422" w:firstLineChars="200"/>
              <w:jc w:val="center"/>
              <w:rPr>
                <w:b/>
                <w:bCs/>
                <w:color w:val="auto"/>
                <w:szCs w:val="21"/>
                <w:highlight w:val="none"/>
              </w:rPr>
            </w:pPr>
            <w:r>
              <w:rPr>
                <w:rFonts w:hint="eastAsia"/>
                <w:b/>
                <w:bCs/>
                <w:color w:val="auto"/>
                <w:szCs w:val="21"/>
                <w:highlight w:val="none"/>
              </w:rPr>
              <w:t>图2-7 横断面布置图</w:t>
            </w:r>
          </w:p>
          <w:p>
            <w:pPr>
              <w:widowControl/>
              <w:spacing w:line="360" w:lineRule="auto"/>
              <w:ind w:firstLine="480" w:firstLineChars="200"/>
              <w:rPr>
                <w:color w:val="auto"/>
                <w:kern w:val="0"/>
                <w:sz w:val="24"/>
                <w:highlight w:val="none"/>
              </w:rPr>
            </w:pPr>
            <w:r>
              <w:rPr>
                <w:rFonts w:hint="eastAsia"/>
                <w:color w:val="auto"/>
                <w:kern w:val="0"/>
                <w:sz w:val="24"/>
                <w:highlight w:val="none"/>
              </w:rPr>
              <w:t>3、结构设计</w:t>
            </w:r>
          </w:p>
          <w:p>
            <w:pPr>
              <w:widowControl/>
              <w:spacing w:line="360" w:lineRule="auto"/>
              <w:ind w:firstLine="480" w:firstLineChars="200"/>
              <w:rPr>
                <w:color w:val="auto"/>
                <w:kern w:val="0"/>
                <w:sz w:val="24"/>
                <w:highlight w:val="none"/>
              </w:rPr>
            </w:pPr>
            <w:r>
              <w:rPr>
                <w:rFonts w:hint="eastAsia"/>
                <w:color w:val="auto"/>
                <w:kern w:val="0"/>
                <w:sz w:val="24"/>
                <w:highlight w:val="none"/>
              </w:rPr>
              <w:t>1）箱型结构设计</w:t>
            </w:r>
          </w:p>
          <w:p>
            <w:pPr>
              <w:widowControl/>
              <w:spacing w:line="360" w:lineRule="auto"/>
              <w:ind w:firstLine="480" w:firstLineChars="200"/>
              <w:rPr>
                <w:color w:val="auto"/>
                <w:kern w:val="0"/>
                <w:sz w:val="24"/>
                <w:highlight w:val="none"/>
              </w:rPr>
            </w:pPr>
            <w:r>
              <w:rPr>
                <w:rFonts w:hint="eastAsia"/>
                <w:color w:val="auto"/>
                <w:kern w:val="0"/>
                <w:sz w:val="24"/>
                <w:highlight w:val="none"/>
              </w:rPr>
              <w:t>下穿通道暗埋段采用箱型结构，结构顶板、侧墙厚 90cm，底板厚 100cm。结构采用 C40 防水砼浇筑，抗渗等级 P8，设 20cm 垫层。底板设置 D80cm 工程桩，采用水下C30。</w:t>
            </w:r>
          </w:p>
          <w:p>
            <w:pPr>
              <w:widowControl/>
              <w:spacing w:line="360" w:lineRule="auto"/>
              <w:ind w:firstLine="420" w:firstLineChars="200"/>
              <w:jc w:val="center"/>
              <w:rPr>
                <w:color w:val="auto"/>
                <w:kern w:val="0"/>
                <w:sz w:val="24"/>
                <w:highlight w:val="none"/>
              </w:rPr>
            </w:pPr>
            <w:r>
              <w:rPr>
                <w:color w:val="auto"/>
                <w:highlight w:val="none"/>
              </w:rPr>
              <w:drawing>
                <wp:inline distT="0" distB="0" distL="114300" distR="114300">
                  <wp:extent cx="3136900" cy="1979930"/>
                  <wp:effectExtent l="0" t="0" r="6350" b="127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6" cstate="print"/>
                          <a:stretch>
                            <a:fillRect/>
                          </a:stretch>
                        </pic:blipFill>
                        <pic:spPr>
                          <a:xfrm>
                            <a:off x="0" y="0"/>
                            <a:ext cx="3136900" cy="1979930"/>
                          </a:xfrm>
                          <a:prstGeom prst="rect">
                            <a:avLst/>
                          </a:prstGeom>
                          <a:noFill/>
                          <a:ln>
                            <a:noFill/>
                          </a:ln>
                        </pic:spPr>
                      </pic:pic>
                    </a:graphicData>
                  </a:graphic>
                </wp:inline>
              </w:drawing>
            </w:r>
          </w:p>
          <w:p>
            <w:pPr>
              <w:widowControl/>
              <w:spacing w:line="360" w:lineRule="auto"/>
              <w:ind w:firstLine="422" w:firstLineChars="200"/>
              <w:jc w:val="center"/>
              <w:rPr>
                <w:color w:val="auto"/>
                <w:kern w:val="0"/>
                <w:sz w:val="24"/>
                <w:highlight w:val="none"/>
              </w:rPr>
            </w:pPr>
            <w:r>
              <w:rPr>
                <w:rFonts w:hint="eastAsia"/>
                <w:b/>
                <w:bCs/>
                <w:color w:val="auto"/>
                <w:szCs w:val="21"/>
                <w:highlight w:val="none"/>
              </w:rPr>
              <w:t>图2-8 结构横断面图</w:t>
            </w:r>
          </w:p>
          <w:p>
            <w:pPr>
              <w:widowControl/>
              <w:spacing w:line="360" w:lineRule="auto"/>
              <w:ind w:firstLine="480" w:firstLineChars="200"/>
              <w:rPr>
                <w:color w:val="auto"/>
                <w:kern w:val="0"/>
                <w:sz w:val="24"/>
                <w:highlight w:val="none"/>
              </w:rPr>
            </w:pPr>
            <w:r>
              <w:rPr>
                <w:rFonts w:hint="eastAsia"/>
                <w:color w:val="auto"/>
                <w:kern w:val="0"/>
                <w:sz w:val="24"/>
                <w:highlight w:val="none"/>
              </w:rPr>
              <w:t>2）防水与耐久性设计</w:t>
            </w:r>
          </w:p>
          <w:p>
            <w:pPr>
              <w:widowControl/>
              <w:spacing w:line="360" w:lineRule="auto"/>
              <w:ind w:firstLine="480" w:firstLineChars="200"/>
              <w:rPr>
                <w:color w:val="auto"/>
                <w:kern w:val="0"/>
                <w:sz w:val="24"/>
                <w:highlight w:val="none"/>
              </w:rPr>
            </w:pPr>
            <w:r>
              <w:rPr>
                <w:rFonts w:hint="eastAsia"/>
                <w:color w:val="auto"/>
                <w:kern w:val="0"/>
                <w:sz w:val="24"/>
                <w:highlight w:val="none"/>
              </w:rPr>
              <w:t>1、设计原则</w:t>
            </w:r>
          </w:p>
          <w:p>
            <w:pPr>
              <w:widowControl/>
              <w:spacing w:line="360" w:lineRule="auto"/>
              <w:ind w:firstLine="480" w:firstLineChars="200"/>
              <w:rPr>
                <w:color w:val="auto"/>
                <w:kern w:val="0"/>
                <w:sz w:val="24"/>
                <w:highlight w:val="none"/>
              </w:rPr>
            </w:pPr>
            <w:r>
              <w:rPr>
                <w:rFonts w:hint="eastAsia"/>
                <w:color w:val="auto"/>
                <w:kern w:val="0"/>
                <w:sz w:val="24"/>
                <w:highlight w:val="none"/>
              </w:rPr>
              <w:t>①防水设计应遵循“以防为主，刚柔结合，多道防线，因地制宜，综合治理” 的原则，采取与其相适应的防水措施。</w:t>
            </w:r>
          </w:p>
          <w:p>
            <w:pPr>
              <w:widowControl/>
              <w:spacing w:line="360" w:lineRule="auto"/>
              <w:ind w:firstLine="480" w:firstLineChars="200"/>
              <w:rPr>
                <w:color w:val="auto"/>
                <w:kern w:val="0"/>
                <w:sz w:val="24"/>
                <w:highlight w:val="none"/>
              </w:rPr>
            </w:pPr>
            <w:r>
              <w:rPr>
                <w:rFonts w:hint="eastAsia"/>
                <w:color w:val="auto"/>
                <w:kern w:val="0"/>
                <w:sz w:val="24"/>
                <w:highlight w:val="none"/>
              </w:rPr>
              <w:t>②以混凝土结构自防水为根本，以接缝防水为重点，并辅以附加防水层加强防水，满足结构使用寿命的要求。</w:t>
            </w:r>
          </w:p>
          <w:p>
            <w:pPr>
              <w:widowControl/>
              <w:spacing w:line="360" w:lineRule="auto"/>
              <w:ind w:firstLine="480" w:firstLineChars="200"/>
              <w:rPr>
                <w:color w:val="auto"/>
                <w:kern w:val="0"/>
                <w:sz w:val="24"/>
                <w:highlight w:val="none"/>
              </w:rPr>
            </w:pPr>
            <w:r>
              <w:rPr>
                <w:rFonts w:hint="eastAsia"/>
                <w:color w:val="auto"/>
                <w:kern w:val="0"/>
                <w:sz w:val="24"/>
                <w:highlight w:val="none"/>
              </w:rPr>
              <w:t>2、设计标准</w:t>
            </w:r>
          </w:p>
          <w:p>
            <w:pPr>
              <w:widowControl/>
              <w:spacing w:line="360" w:lineRule="auto"/>
              <w:ind w:firstLine="480" w:firstLineChars="200"/>
              <w:rPr>
                <w:color w:val="auto"/>
                <w:kern w:val="0"/>
                <w:sz w:val="24"/>
                <w:highlight w:val="none"/>
              </w:rPr>
            </w:pPr>
            <w:r>
              <w:rPr>
                <w:rFonts w:hint="eastAsia"/>
                <w:color w:val="auto"/>
                <w:kern w:val="0"/>
                <w:sz w:val="24"/>
                <w:highlight w:val="none"/>
              </w:rPr>
              <w:t>本工程的防水等级为一级，即不允许漏水，结构表面无湿渍。</w:t>
            </w:r>
          </w:p>
          <w:p>
            <w:pPr>
              <w:widowControl/>
              <w:spacing w:line="360" w:lineRule="auto"/>
              <w:ind w:firstLine="480" w:firstLineChars="200"/>
              <w:rPr>
                <w:color w:val="auto"/>
                <w:kern w:val="0"/>
                <w:sz w:val="24"/>
                <w:highlight w:val="none"/>
              </w:rPr>
            </w:pPr>
            <w:r>
              <w:rPr>
                <w:rFonts w:hint="eastAsia"/>
                <w:color w:val="auto"/>
                <w:kern w:val="0"/>
                <w:sz w:val="24"/>
                <w:highlight w:val="none"/>
              </w:rPr>
              <w:t>根据《混凝土结构设计规范》，本通道结构迎土面混凝土构件的环境类别为二a、二b类，结构内部混凝土构件的环境类别为一类。根据《混凝土结构耐久性设计规范》，地下结构环境类别为一般环境，环境作用等级Ⅰ－C 类，设计使用年限为100年。</w:t>
            </w:r>
          </w:p>
          <w:p>
            <w:pPr>
              <w:widowControl/>
              <w:spacing w:line="360" w:lineRule="auto"/>
              <w:ind w:firstLine="480" w:firstLineChars="200"/>
              <w:rPr>
                <w:color w:val="auto"/>
                <w:kern w:val="0"/>
                <w:sz w:val="24"/>
                <w:highlight w:val="none"/>
              </w:rPr>
            </w:pPr>
            <w:r>
              <w:rPr>
                <w:rFonts w:hint="eastAsia"/>
                <w:color w:val="auto"/>
                <w:kern w:val="0"/>
                <w:sz w:val="24"/>
                <w:highlight w:val="none"/>
              </w:rPr>
              <w:t>3、主要防水技术</w:t>
            </w:r>
          </w:p>
          <w:p>
            <w:pPr>
              <w:widowControl/>
              <w:spacing w:line="360" w:lineRule="auto"/>
              <w:ind w:firstLine="480" w:firstLineChars="200"/>
              <w:rPr>
                <w:color w:val="auto"/>
                <w:kern w:val="0"/>
                <w:sz w:val="24"/>
                <w:highlight w:val="none"/>
              </w:rPr>
            </w:pPr>
            <w:r>
              <w:rPr>
                <w:rFonts w:hint="eastAsia"/>
                <w:color w:val="auto"/>
                <w:kern w:val="0"/>
                <w:sz w:val="24"/>
                <w:highlight w:val="none"/>
              </w:rPr>
              <w:t>A、混凝土结构自防水</w:t>
            </w:r>
          </w:p>
          <w:p>
            <w:pPr>
              <w:widowControl/>
              <w:spacing w:line="360" w:lineRule="auto"/>
              <w:ind w:firstLine="480" w:firstLineChars="200"/>
              <w:rPr>
                <w:color w:val="auto"/>
                <w:kern w:val="0"/>
                <w:sz w:val="24"/>
                <w:highlight w:val="none"/>
              </w:rPr>
            </w:pPr>
            <w:r>
              <w:rPr>
                <w:rFonts w:hint="eastAsia"/>
                <w:color w:val="auto"/>
                <w:kern w:val="0"/>
                <w:sz w:val="24"/>
                <w:highlight w:val="none"/>
              </w:rPr>
              <w:t>a、混凝土结构自防水、耐久性的技术性能试验指标</w:t>
            </w:r>
          </w:p>
          <w:p>
            <w:pPr>
              <w:widowControl/>
              <w:spacing w:line="360" w:lineRule="auto"/>
              <w:ind w:firstLine="480" w:firstLineChars="200"/>
              <w:rPr>
                <w:color w:val="auto"/>
                <w:kern w:val="0"/>
                <w:sz w:val="24"/>
                <w:highlight w:val="none"/>
              </w:rPr>
            </w:pPr>
            <w:r>
              <w:rPr>
                <w:rFonts w:hint="eastAsia"/>
                <w:color w:val="auto"/>
                <w:kern w:val="0"/>
                <w:sz w:val="24"/>
                <w:highlight w:val="none"/>
              </w:rPr>
              <w:t>①、防水混凝土标号应按照结构安全、耐久、抗渗、防裂的要求确定，强度等级不应低于C40，混凝土抗渗等级P8；</w:t>
            </w:r>
          </w:p>
          <w:p>
            <w:pPr>
              <w:widowControl/>
              <w:spacing w:line="360" w:lineRule="auto"/>
              <w:ind w:firstLine="480" w:firstLineChars="200"/>
              <w:rPr>
                <w:color w:val="auto"/>
                <w:kern w:val="0"/>
                <w:sz w:val="24"/>
                <w:highlight w:val="none"/>
              </w:rPr>
            </w:pPr>
            <w:r>
              <w:rPr>
                <w:rFonts w:hint="eastAsia"/>
                <w:color w:val="auto"/>
                <w:kern w:val="0"/>
                <w:sz w:val="24"/>
                <w:highlight w:val="none"/>
              </w:rPr>
              <w:t>②、混凝土抗碳化能力，以理论计算达到100年；</w:t>
            </w:r>
          </w:p>
          <w:p>
            <w:pPr>
              <w:widowControl/>
              <w:spacing w:line="360" w:lineRule="auto"/>
              <w:ind w:firstLine="480" w:firstLineChars="200"/>
              <w:rPr>
                <w:color w:val="auto"/>
                <w:kern w:val="0"/>
                <w:sz w:val="24"/>
                <w:highlight w:val="none"/>
              </w:rPr>
            </w:pPr>
            <w:r>
              <w:rPr>
                <w:rFonts w:hint="eastAsia"/>
                <w:color w:val="auto"/>
                <w:kern w:val="0"/>
                <w:sz w:val="24"/>
                <w:highlight w:val="none"/>
              </w:rPr>
              <w:t>③、混凝土60天干燥收缩率不大于0.015%；</w:t>
            </w:r>
          </w:p>
          <w:p>
            <w:pPr>
              <w:widowControl/>
              <w:spacing w:line="360" w:lineRule="auto"/>
              <w:ind w:firstLine="480" w:firstLineChars="200"/>
              <w:rPr>
                <w:color w:val="auto"/>
                <w:kern w:val="0"/>
                <w:sz w:val="24"/>
                <w:highlight w:val="none"/>
              </w:rPr>
            </w:pPr>
            <w:r>
              <w:rPr>
                <w:rFonts w:hint="eastAsia"/>
                <w:color w:val="auto"/>
                <w:kern w:val="0"/>
                <w:sz w:val="24"/>
                <w:highlight w:val="none"/>
              </w:rPr>
              <w:t>④、混凝土表面裂缝宽度≤0.2mm，不允许出现贯穿裂缝；</w:t>
            </w:r>
          </w:p>
          <w:p>
            <w:pPr>
              <w:widowControl/>
              <w:spacing w:line="360" w:lineRule="auto"/>
              <w:ind w:firstLine="480" w:firstLineChars="200"/>
              <w:rPr>
                <w:color w:val="auto"/>
                <w:kern w:val="0"/>
                <w:sz w:val="24"/>
                <w:highlight w:val="none"/>
              </w:rPr>
            </w:pPr>
            <w:r>
              <w:rPr>
                <w:rFonts w:hint="eastAsia"/>
                <w:color w:val="auto"/>
                <w:kern w:val="0"/>
                <w:sz w:val="24"/>
                <w:highlight w:val="none"/>
              </w:rPr>
              <w:t>⑤、迎土面钢筋保护层厚度≥50mm，背土面钢筋保护层厚度≥35mm。</w:t>
            </w:r>
          </w:p>
          <w:p>
            <w:pPr>
              <w:widowControl/>
              <w:spacing w:line="360" w:lineRule="auto"/>
              <w:ind w:firstLine="480" w:firstLineChars="200"/>
              <w:rPr>
                <w:color w:val="auto"/>
                <w:kern w:val="0"/>
                <w:sz w:val="24"/>
                <w:highlight w:val="none"/>
              </w:rPr>
            </w:pPr>
            <w:r>
              <w:rPr>
                <w:rFonts w:hint="eastAsia"/>
                <w:color w:val="auto"/>
                <w:kern w:val="0"/>
                <w:sz w:val="24"/>
                <w:highlight w:val="none"/>
              </w:rPr>
              <w:t>b、混凝土结构自防水主要技术措施</w:t>
            </w:r>
          </w:p>
          <w:p>
            <w:pPr>
              <w:widowControl/>
              <w:spacing w:line="360" w:lineRule="auto"/>
              <w:ind w:firstLine="480" w:firstLineChars="200"/>
              <w:rPr>
                <w:color w:val="auto"/>
                <w:kern w:val="0"/>
                <w:sz w:val="24"/>
                <w:highlight w:val="none"/>
              </w:rPr>
            </w:pPr>
            <w:r>
              <w:rPr>
                <w:rFonts w:hint="eastAsia"/>
                <w:color w:val="auto"/>
                <w:kern w:val="0"/>
                <w:sz w:val="24"/>
                <w:highlight w:val="none"/>
              </w:rPr>
              <w:t>为达到混凝土高性能、高耐久性的要求，混凝土配制时应选用优质的水泥，性能优良的矿粉、粉煤灰等矿物掺合材料，或者选用有上述二者复配形成的复合型胶凝材料；</w:t>
            </w:r>
          </w:p>
          <w:p>
            <w:pPr>
              <w:widowControl/>
              <w:spacing w:line="360" w:lineRule="auto"/>
              <w:ind w:firstLine="480" w:firstLineChars="200"/>
              <w:rPr>
                <w:color w:val="auto"/>
                <w:kern w:val="0"/>
                <w:sz w:val="24"/>
                <w:highlight w:val="none"/>
              </w:rPr>
            </w:pPr>
            <w:r>
              <w:rPr>
                <w:rFonts w:hint="eastAsia"/>
                <w:color w:val="auto"/>
                <w:kern w:val="0"/>
                <w:sz w:val="24"/>
                <w:highlight w:val="none"/>
              </w:rPr>
              <w:t>限制每立方米混凝土中胶凝材料的最低和最高用量，添加高性能混凝土膨胀剂，混凝土高性能减水剂，具温升抑制、微膨胀等功能的高效抗裂剂。抗拔桩钢筋采用环氧树脂涂层钢筋。</w:t>
            </w:r>
          </w:p>
          <w:p>
            <w:pPr>
              <w:widowControl/>
              <w:spacing w:line="360" w:lineRule="auto"/>
              <w:ind w:firstLine="480" w:firstLineChars="200"/>
              <w:rPr>
                <w:color w:val="auto"/>
                <w:kern w:val="0"/>
                <w:sz w:val="24"/>
                <w:highlight w:val="none"/>
              </w:rPr>
            </w:pPr>
            <w:r>
              <w:rPr>
                <w:rFonts w:hint="eastAsia"/>
                <w:color w:val="auto"/>
                <w:kern w:val="0"/>
                <w:sz w:val="24"/>
                <w:highlight w:val="none"/>
              </w:rPr>
              <w:t>B、附加防水层</w:t>
            </w:r>
          </w:p>
          <w:p>
            <w:pPr>
              <w:widowControl/>
              <w:spacing w:line="360" w:lineRule="auto"/>
              <w:ind w:firstLine="480" w:firstLineChars="200"/>
              <w:rPr>
                <w:color w:val="auto"/>
                <w:kern w:val="0"/>
                <w:sz w:val="24"/>
                <w:highlight w:val="none"/>
              </w:rPr>
            </w:pPr>
            <w:r>
              <w:rPr>
                <w:rFonts w:hint="eastAsia"/>
                <w:color w:val="auto"/>
                <w:kern w:val="0"/>
                <w:sz w:val="24"/>
                <w:highlight w:val="none"/>
              </w:rPr>
              <w:t>本工程顶、底板、侧墙采用 1.5mm 高分子自粘胶膜防水卷材，辅以混凝土垫层、保护层等。</w:t>
            </w:r>
          </w:p>
          <w:p>
            <w:pPr>
              <w:widowControl/>
              <w:spacing w:line="360" w:lineRule="auto"/>
              <w:ind w:firstLine="480" w:firstLineChars="200"/>
              <w:rPr>
                <w:color w:val="auto"/>
                <w:kern w:val="0"/>
                <w:sz w:val="24"/>
                <w:highlight w:val="none"/>
              </w:rPr>
            </w:pPr>
            <w:r>
              <w:rPr>
                <w:rFonts w:hint="eastAsia"/>
                <w:color w:val="auto"/>
                <w:kern w:val="0"/>
                <w:sz w:val="24"/>
                <w:highlight w:val="none"/>
              </w:rPr>
              <w:t>C、细部构造防水</w:t>
            </w:r>
          </w:p>
          <w:p>
            <w:pPr>
              <w:widowControl/>
              <w:spacing w:line="360" w:lineRule="auto"/>
              <w:ind w:firstLine="480" w:firstLineChars="200"/>
              <w:rPr>
                <w:color w:val="auto"/>
                <w:kern w:val="0"/>
                <w:sz w:val="24"/>
                <w:highlight w:val="none"/>
              </w:rPr>
            </w:pPr>
            <w:r>
              <w:rPr>
                <w:rFonts w:hint="eastAsia"/>
                <w:color w:val="auto"/>
                <w:kern w:val="0"/>
                <w:sz w:val="24"/>
                <w:highlight w:val="none"/>
              </w:rPr>
              <w:t>隧道横向接缝以变形缝和施工缝为主。相邻两条变形缝间可根据现场施工情况设置横向垂直施工缝。</w:t>
            </w:r>
          </w:p>
          <w:p>
            <w:pPr>
              <w:widowControl/>
              <w:spacing w:line="360" w:lineRule="auto"/>
              <w:ind w:firstLine="480" w:firstLineChars="200"/>
              <w:rPr>
                <w:color w:val="auto"/>
                <w:kern w:val="0"/>
                <w:sz w:val="24"/>
                <w:highlight w:val="none"/>
              </w:rPr>
            </w:pPr>
            <w:r>
              <w:rPr>
                <w:rFonts w:hint="eastAsia"/>
                <w:color w:val="auto"/>
                <w:kern w:val="0"/>
                <w:sz w:val="24"/>
                <w:highlight w:val="none"/>
              </w:rPr>
              <w:t>水平施工缝，采用宽度约为 30cm 的钢板止水带进行防水处理，垂直施工缝设置中埋式钢边橡胶止水带，形成一道封闭防水线。</w:t>
            </w:r>
          </w:p>
          <w:p>
            <w:pPr>
              <w:widowControl/>
              <w:spacing w:line="360" w:lineRule="auto"/>
              <w:ind w:firstLine="480" w:firstLineChars="200"/>
              <w:rPr>
                <w:color w:val="auto"/>
                <w:kern w:val="0"/>
                <w:sz w:val="24"/>
                <w:highlight w:val="none"/>
              </w:rPr>
            </w:pPr>
            <w:r>
              <w:rPr>
                <w:rFonts w:hint="eastAsia"/>
                <w:color w:val="auto"/>
                <w:kern w:val="0"/>
                <w:sz w:val="24"/>
                <w:highlight w:val="none"/>
              </w:rPr>
              <w:t>变形缝设置中埋式钢边橡胶止水带，形成一道封闭防水线；变形缝底板、侧墙外侧设外贴式橡胶止水带，与顶板顶面变形缝处的低模量密封胶形成封闭状；变形缝顶板、侧墙、底板背水侧用高模量密封胶嵌缝，密封胶闭合成环。</w:t>
            </w:r>
          </w:p>
          <w:p>
            <w:pPr>
              <w:widowControl/>
              <w:spacing w:line="360" w:lineRule="auto"/>
              <w:ind w:firstLine="480" w:firstLineChars="200"/>
              <w:rPr>
                <w:color w:val="auto"/>
                <w:kern w:val="0"/>
                <w:sz w:val="24"/>
                <w:highlight w:val="none"/>
              </w:rPr>
            </w:pPr>
            <w:r>
              <w:rPr>
                <w:rFonts w:hint="eastAsia"/>
                <w:color w:val="auto"/>
                <w:kern w:val="0"/>
                <w:sz w:val="24"/>
                <w:highlight w:val="none"/>
              </w:rPr>
              <w:t>4、围护设计</w:t>
            </w:r>
          </w:p>
          <w:p>
            <w:pPr>
              <w:widowControl/>
              <w:spacing w:line="360" w:lineRule="auto"/>
              <w:ind w:firstLine="480" w:firstLineChars="200"/>
              <w:rPr>
                <w:color w:val="auto"/>
                <w:kern w:val="0"/>
                <w:sz w:val="24"/>
                <w:highlight w:val="none"/>
              </w:rPr>
            </w:pPr>
            <w:r>
              <w:rPr>
                <w:rFonts w:hint="eastAsia"/>
                <w:color w:val="auto"/>
                <w:kern w:val="0"/>
                <w:sz w:val="24"/>
                <w:highlight w:val="none"/>
              </w:rPr>
              <w:t>本通道开挖深度为 7.575~8.72m，项目周边场地空旷，均为空地。为减小大范围开挖对道路的影响，采用垂直支护。</w:t>
            </w:r>
          </w:p>
          <w:p>
            <w:pPr>
              <w:widowControl/>
              <w:spacing w:line="360" w:lineRule="auto"/>
              <w:ind w:firstLine="480" w:firstLineChars="200"/>
              <w:rPr>
                <w:color w:val="auto"/>
                <w:kern w:val="0"/>
                <w:sz w:val="24"/>
                <w:highlight w:val="none"/>
              </w:rPr>
            </w:pPr>
            <w:r>
              <w:rPr>
                <w:rFonts w:hint="eastAsia"/>
                <w:color w:val="auto"/>
                <w:kern w:val="0"/>
                <w:sz w:val="24"/>
                <w:highlight w:val="none"/>
              </w:rPr>
              <w:t>基坑安全等级二级，参照苏州当地同类工程经验，并充分考虑基坑工程安全、基坑施工对周边环境的影响、施工条件和经济性等因素。支护采用 SMW 工法桩，插二跳一。支撑系统采用内支撑系统，采用钢筋混凝土与钢管支撑相结合：其中第一道支撑采用钢筋混凝土支撑，第二道支撑采用 D609 钢支撑。</w:t>
            </w:r>
          </w:p>
          <w:p>
            <w:pPr>
              <w:widowControl/>
              <w:spacing w:line="360" w:lineRule="auto"/>
              <w:ind w:firstLine="420" w:firstLineChars="200"/>
              <w:jc w:val="center"/>
              <w:rPr>
                <w:color w:val="auto"/>
                <w:kern w:val="0"/>
                <w:sz w:val="24"/>
                <w:highlight w:val="none"/>
              </w:rPr>
            </w:pPr>
            <w:r>
              <w:rPr>
                <w:color w:val="auto"/>
                <w:highlight w:val="none"/>
              </w:rPr>
              <w:drawing>
                <wp:inline distT="0" distB="0" distL="114300" distR="114300">
                  <wp:extent cx="2577465" cy="2160270"/>
                  <wp:effectExtent l="0" t="0" r="13335" b="1143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7" cstate="print"/>
                          <a:stretch>
                            <a:fillRect/>
                          </a:stretch>
                        </pic:blipFill>
                        <pic:spPr>
                          <a:xfrm>
                            <a:off x="0" y="0"/>
                            <a:ext cx="2577465" cy="2160270"/>
                          </a:xfrm>
                          <a:prstGeom prst="rect">
                            <a:avLst/>
                          </a:prstGeom>
                          <a:noFill/>
                          <a:ln>
                            <a:noFill/>
                          </a:ln>
                        </pic:spPr>
                      </pic:pic>
                    </a:graphicData>
                  </a:graphic>
                </wp:inline>
              </w:drawing>
            </w:r>
          </w:p>
          <w:p>
            <w:pPr>
              <w:widowControl/>
              <w:spacing w:line="360" w:lineRule="auto"/>
              <w:ind w:firstLine="422" w:firstLineChars="200"/>
              <w:jc w:val="center"/>
              <w:rPr>
                <w:color w:val="auto"/>
                <w:kern w:val="0"/>
                <w:sz w:val="24"/>
                <w:highlight w:val="none"/>
              </w:rPr>
            </w:pPr>
            <w:r>
              <w:rPr>
                <w:rFonts w:hint="eastAsia"/>
                <w:b/>
                <w:bCs/>
                <w:color w:val="auto"/>
                <w:szCs w:val="21"/>
                <w:highlight w:val="none"/>
              </w:rPr>
              <w:t>图2-9 围护横断面图</w:t>
            </w:r>
          </w:p>
          <w:p>
            <w:pPr>
              <w:widowControl/>
              <w:spacing w:line="360" w:lineRule="auto"/>
              <w:rPr>
                <w:b/>
                <w:bCs/>
                <w:color w:val="auto"/>
                <w:kern w:val="0"/>
                <w:sz w:val="24"/>
                <w:highlight w:val="none"/>
              </w:rPr>
            </w:pPr>
            <w:r>
              <w:rPr>
                <w:rFonts w:hint="eastAsia"/>
                <w:b/>
                <w:bCs/>
                <w:color w:val="auto"/>
                <w:kern w:val="0"/>
                <w:sz w:val="24"/>
                <w:highlight w:val="none"/>
              </w:rPr>
              <w:t>4、排水工程</w:t>
            </w:r>
          </w:p>
          <w:p>
            <w:pPr>
              <w:adjustRightInd w:val="0"/>
              <w:snapToGrid w:val="0"/>
              <w:spacing w:line="360" w:lineRule="auto"/>
              <w:ind w:firstLine="482" w:firstLineChars="200"/>
              <w:rPr>
                <w:b/>
                <w:color w:val="auto"/>
                <w:sz w:val="24"/>
                <w:highlight w:val="none"/>
              </w:rPr>
            </w:pPr>
            <w:r>
              <w:rPr>
                <w:rFonts w:hint="eastAsia"/>
                <w:b/>
                <w:color w:val="auto"/>
                <w:sz w:val="24"/>
                <w:highlight w:val="none"/>
              </w:rPr>
              <w:t>1、设计原则</w:t>
            </w:r>
          </w:p>
          <w:p>
            <w:pPr>
              <w:widowControl/>
              <w:spacing w:line="360" w:lineRule="auto"/>
              <w:ind w:firstLine="480" w:firstLineChars="200"/>
              <w:rPr>
                <w:color w:val="auto"/>
                <w:kern w:val="0"/>
                <w:sz w:val="24"/>
                <w:highlight w:val="none"/>
              </w:rPr>
            </w:pPr>
            <w:r>
              <w:rPr>
                <w:rFonts w:hint="eastAsia"/>
                <w:color w:val="auto"/>
                <w:kern w:val="0"/>
                <w:sz w:val="24"/>
                <w:highlight w:val="none"/>
              </w:rPr>
              <w:t>1、本工程排水体制采用雨、污水分流制。</w:t>
            </w:r>
          </w:p>
          <w:p>
            <w:pPr>
              <w:widowControl/>
              <w:spacing w:line="360" w:lineRule="auto"/>
              <w:ind w:firstLine="480" w:firstLineChars="200"/>
              <w:rPr>
                <w:color w:val="auto"/>
                <w:kern w:val="0"/>
                <w:sz w:val="24"/>
                <w:highlight w:val="none"/>
              </w:rPr>
            </w:pPr>
            <w:r>
              <w:rPr>
                <w:rFonts w:hint="eastAsia"/>
                <w:color w:val="auto"/>
                <w:kern w:val="0"/>
                <w:sz w:val="24"/>
                <w:highlight w:val="none"/>
              </w:rPr>
              <w:t>2、雨水管：根据用地性质规划图及道路建设情况，结合周边地块的雨水排放，合理划分雨水汇水面积。</w:t>
            </w:r>
          </w:p>
          <w:p>
            <w:pPr>
              <w:widowControl/>
              <w:spacing w:line="360" w:lineRule="auto"/>
              <w:ind w:firstLine="480" w:firstLineChars="200"/>
              <w:rPr>
                <w:color w:val="auto"/>
                <w:kern w:val="0"/>
                <w:sz w:val="24"/>
                <w:highlight w:val="none"/>
              </w:rPr>
            </w:pPr>
            <w:r>
              <w:rPr>
                <w:rFonts w:hint="eastAsia"/>
                <w:color w:val="auto"/>
                <w:kern w:val="0"/>
                <w:sz w:val="24"/>
                <w:highlight w:val="none"/>
              </w:rPr>
              <w:t>3、污水管：根据污水规划及道路建设情况新建污水管。</w:t>
            </w:r>
          </w:p>
          <w:p>
            <w:pPr>
              <w:adjustRightInd w:val="0"/>
              <w:snapToGrid w:val="0"/>
              <w:spacing w:line="360" w:lineRule="auto"/>
              <w:ind w:firstLine="482" w:firstLineChars="200"/>
              <w:rPr>
                <w:b/>
                <w:color w:val="auto"/>
                <w:sz w:val="24"/>
                <w:highlight w:val="none"/>
              </w:rPr>
            </w:pPr>
            <w:r>
              <w:rPr>
                <w:rFonts w:hint="eastAsia"/>
                <w:b/>
                <w:color w:val="auto"/>
                <w:sz w:val="24"/>
                <w:highlight w:val="none"/>
              </w:rPr>
              <w:t>2、设计概况</w:t>
            </w:r>
          </w:p>
          <w:p>
            <w:pPr>
              <w:widowControl/>
              <w:spacing w:line="360" w:lineRule="auto"/>
              <w:ind w:firstLine="480" w:firstLineChars="200"/>
              <w:rPr>
                <w:color w:val="auto"/>
                <w:kern w:val="0"/>
                <w:sz w:val="24"/>
                <w:highlight w:val="none"/>
              </w:rPr>
            </w:pPr>
            <w:r>
              <w:rPr>
                <w:rFonts w:hint="eastAsia"/>
                <w:color w:val="auto"/>
                <w:kern w:val="0"/>
                <w:sz w:val="24"/>
                <w:highlight w:val="none"/>
              </w:rPr>
              <w:t>（1）雨水：</w:t>
            </w:r>
          </w:p>
          <w:p>
            <w:pPr>
              <w:widowControl/>
              <w:spacing w:line="360" w:lineRule="auto"/>
              <w:ind w:firstLine="480" w:firstLineChars="200"/>
              <w:rPr>
                <w:color w:val="auto"/>
                <w:kern w:val="0"/>
                <w:sz w:val="24"/>
                <w:highlight w:val="none"/>
              </w:rPr>
            </w:pPr>
            <w:r>
              <w:rPr>
                <w:rFonts w:hint="eastAsia"/>
                <w:color w:val="auto"/>
                <w:kern w:val="0"/>
                <w:sz w:val="24"/>
                <w:highlight w:val="none"/>
              </w:rPr>
              <w:t>本次道路下规划两根 DN400~d1000 雨水管，雨水管位于道路两侧非机动车道下，南侧管中心距离道路中心线 11.5 米，北侧管中心距离道路中心线 12.2 米，渠化段相应调整。雨水管收集路面雨水及道路两侧地块雨水后往西排入外塘河。排水体制采用雨、污分流制。</w:t>
            </w:r>
          </w:p>
          <w:p>
            <w:pPr>
              <w:pStyle w:val="16"/>
              <w:rPr>
                <w:color w:val="auto"/>
                <w:highlight w:val="none"/>
              </w:rPr>
            </w:pPr>
            <w:r>
              <w:rPr>
                <w:color w:val="auto"/>
                <w:highlight w:val="none"/>
              </w:rPr>
              <w:drawing>
                <wp:inline distT="0" distB="0" distL="114300" distR="114300">
                  <wp:extent cx="4327525" cy="1800225"/>
                  <wp:effectExtent l="0" t="0" r="15875" b="952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8" cstate="print"/>
                          <a:stretch>
                            <a:fillRect/>
                          </a:stretch>
                        </pic:blipFill>
                        <pic:spPr>
                          <a:xfrm>
                            <a:off x="0" y="0"/>
                            <a:ext cx="4327525" cy="1800225"/>
                          </a:xfrm>
                          <a:prstGeom prst="rect">
                            <a:avLst/>
                          </a:prstGeom>
                          <a:noFill/>
                          <a:ln>
                            <a:noFill/>
                          </a:ln>
                        </pic:spPr>
                      </pic:pic>
                    </a:graphicData>
                  </a:graphic>
                </wp:inline>
              </w:drawing>
            </w:r>
          </w:p>
          <w:p>
            <w:pPr>
              <w:widowControl/>
              <w:spacing w:line="360" w:lineRule="auto"/>
              <w:ind w:firstLine="422" w:firstLineChars="200"/>
              <w:jc w:val="center"/>
              <w:rPr>
                <w:color w:val="auto"/>
                <w:kern w:val="0"/>
                <w:sz w:val="24"/>
                <w:highlight w:val="none"/>
              </w:rPr>
            </w:pPr>
            <w:r>
              <w:rPr>
                <w:rFonts w:hint="eastAsia"/>
                <w:b/>
                <w:bCs/>
                <w:color w:val="auto"/>
                <w:szCs w:val="21"/>
                <w:highlight w:val="none"/>
              </w:rPr>
              <w:t>图2-10 雨水方案图</w:t>
            </w:r>
          </w:p>
          <w:p>
            <w:pPr>
              <w:widowControl/>
              <w:spacing w:line="360" w:lineRule="auto"/>
              <w:ind w:firstLine="480" w:firstLineChars="200"/>
              <w:rPr>
                <w:color w:val="auto"/>
                <w:kern w:val="0"/>
                <w:sz w:val="24"/>
                <w:highlight w:val="none"/>
              </w:rPr>
            </w:pPr>
            <w:r>
              <w:rPr>
                <w:rFonts w:hint="eastAsia"/>
                <w:color w:val="auto"/>
                <w:kern w:val="0"/>
                <w:sz w:val="24"/>
                <w:highlight w:val="none"/>
              </w:rPr>
              <w:t>（2）污水：</w:t>
            </w:r>
          </w:p>
          <w:p>
            <w:pPr>
              <w:widowControl/>
              <w:spacing w:line="360" w:lineRule="auto"/>
              <w:ind w:firstLine="480" w:firstLineChars="200"/>
              <w:rPr>
                <w:color w:val="auto"/>
                <w:kern w:val="0"/>
                <w:sz w:val="24"/>
                <w:highlight w:val="none"/>
              </w:rPr>
            </w:pPr>
            <w:r>
              <w:rPr>
                <w:rFonts w:hint="eastAsia"/>
                <w:color w:val="auto"/>
                <w:kern w:val="0"/>
                <w:sz w:val="24"/>
                <w:highlight w:val="none"/>
              </w:rPr>
              <w:t>与市区水务集团及清源水务公司对接，本次道路下规划一根 DN400 污水管道，位于道路中心线下。</w:t>
            </w:r>
          </w:p>
          <w:p>
            <w:pPr>
              <w:widowControl/>
              <w:spacing w:line="360" w:lineRule="auto"/>
              <w:jc w:val="center"/>
              <w:rPr>
                <w:rFonts w:ascii="宋体" w:hAnsi="宋体" w:cs="宋体"/>
                <w:b/>
                <w:bCs/>
                <w:color w:val="auto"/>
                <w:kern w:val="0"/>
                <w:sz w:val="24"/>
                <w:highlight w:val="none"/>
              </w:rPr>
            </w:pPr>
            <w:r>
              <w:rPr>
                <w:color w:val="auto"/>
                <w:highlight w:val="none"/>
              </w:rPr>
              <w:drawing>
                <wp:inline distT="0" distB="0" distL="114300" distR="114300">
                  <wp:extent cx="3761105" cy="1800225"/>
                  <wp:effectExtent l="0" t="0" r="10795" b="952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19" cstate="print"/>
                          <a:stretch>
                            <a:fillRect/>
                          </a:stretch>
                        </pic:blipFill>
                        <pic:spPr>
                          <a:xfrm>
                            <a:off x="0" y="0"/>
                            <a:ext cx="3761105" cy="1800225"/>
                          </a:xfrm>
                          <a:prstGeom prst="rect">
                            <a:avLst/>
                          </a:prstGeom>
                          <a:noFill/>
                          <a:ln>
                            <a:noFill/>
                          </a:ln>
                        </pic:spPr>
                      </pic:pic>
                    </a:graphicData>
                  </a:graphic>
                </wp:inline>
              </w:drawing>
            </w:r>
          </w:p>
          <w:p>
            <w:pPr>
              <w:widowControl/>
              <w:spacing w:line="360" w:lineRule="auto"/>
              <w:ind w:firstLine="422" w:firstLineChars="200"/>
              <w:jc w:val="center"/>
              <w:rPr>
                <w:color w:val="auto"/>
                <w:kern w:val="0"/>
                <w:sz w:val="24"/>
                <w:highlight w:val="none"/>
              </w:rPr>
            </w:pPr>
            <w:r>
              <w:rPr>
                <w:rFonts w:hint="eastAsia"/>
                <w:b/>
                <w:bCs/>
                <w:color w:val="auto"/>
                <w:szCs w:val="21"/>
                <w:highlight w:val="none"/>
              </w:rPr>
              <w:t>图2-11 污水方案图</w:t>
            </w:r>
          </w:p>
          <w:p>
            <w:pPr>
              <w:widowControl/>
              <w:spacing w:line="360" w:lineRule="auto"/>
              <w:rPr>
                <w:b/>
                <w:bCs/>
                <w:color w:val="auto"/>
                <w:kern w:val="0"/>
                <w:sz w:val="24"/>
                <w:highlight w:val="none"/>
              </w:rPr>
            </w:pPr>
            <w:r>
              <w:rPr>
                <w:rFonts w:hint="eastAsia"/>
                <w:b/>
                <w:bCs/>
                <w:color w:val="auto"/>
                <w:kern w:val="0"/>
                <w:sz w:val="24"/>
                <w:highlight w:val="none"/>
              </w:rPr>
              <w:t>5、管线综合</w:t>
            </w:r>
          </w:p>
          <w:p>
            <w:pPr>
              <w:adjustRightInd w:val="0"/>
              <w:snapToGrid w:val="0"/>
              <w:spacing w:line="360" w:lineRule="auto"/>
              <w:ind w:firstLine="482" w:firstLineChars="200"/>
              <w:rPr>
                <w:b/>
                <w:color w:val="auto"/>
                <w:sz w:val="24"/>
                <w:highlight w:val="none"/>
              </w:rPr>
            </w:pPr>
            <w:r>
              <w:rPr>
                <w:rFonts w:hint="eastAsia"/>
                <w:b/>
                <w:color w:val="auto"/>
                <w:sz w:val="24"/>
                <w:highlight w:val="none"/>
                <w:lang w:val="en-US" w:eastAsia="zh-CN"/>
              </w:rPr>
              <w:t>(</w:t>
            </w:r>
            <w:r>
              <w:rPr>
                <w:rFonts w:hint="eastAsia"/>
                <w:b/>
                <w:color w:val="auto"/>
                <w:sz w:val="24"/>
                <w:highlight w:val="none"/>
              </w:rPr>
              <w:t>1</w:t>
            </w:r>
            <w:r>
              <w:rPr>
                <w:rFonts w:hint="eastAsia"/>
                <w:b/>
                <w:color w:val="auto"/>
                <w:sz w:val="24"/>
                <w:highlight w:val="none"/>
                <w:lang w:val="en-US" w:eastAsia="zh-CN"/>
              </w:rPr>
              <w:t>)</w:t>
            </w:r>
            <w:r>
              <w:rPr>
                <w:rFonts w:hint="eastAsia"/>
                <w:b/>
                <w:color w:val="auto"/>
                <w:sz w:val="24"/>
                <w:highlight w:val="none"/>
              </w:rPr>
              <w:t>、设计原则</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①遵循各种管线的技术规范；</w:t>
            </w:r>
          </w:p>
          <w:p>
            <w:pPr>
              <w:widowControl/>
              <w:spacing w:line="360" w:lineRule="auto"/>
              <w:ind w:firstLine="480" w:firstLineChars="200"/>
              <w:jc w:val="left"/>
              <w:rPr>
                <w:rFonts w:ascii="宋体" w:hAnsi="宋体" w:cs="宋体"/>
                <w:color w:val="auto"/>
                <w:kern w:val="0"/>
                <w:sz w:val="24"/>
                <w:highlight w:val="none"/>
              </w:rPr>
            </w:pPr>
            <w:r>
              <w:rPr>
                <w:rFonts w:hint="default" w:ascii="宋体" w:hAnsi="宋体" w:cs="宋体"/>
                <w:color w:val="auto"/>
                <w:kern w:val="0"/>
                <w:sz w:val="24"/>
                <w:highlight w:val="none"/>
              </w:rPr>
              <w:t>②</w:t>
            </w:r>
            <w:r>
              <w:rPr>
                <w:rFonts w:hint="eastAsia" w:ascii="宋体" w:hAnsi="宋体" w:cs="宋体"/>
                <w:color w:val="auto"/>
                <w:kern w:val="0"/>
                <w:sz w:val="24"/>
                <w:highlight w:val="none"/>
              </w:rPr>
              <w:t>小管线避让大管线；</w:t>
            </w:r>
          </w:p>
          <w:p>
            <w:pPr>
              <w:widowControl/>
              <w:spacing w:line="360" w:lineRule="auto"/>
              <w:ind w:firstLine="480" w:firstLineChars="200"/>
              <w:jc w:val="left"/>
              <w:rPr>
                <w:rFonts w:ascii="宋体" w:hAnsi="宋体" w:cs="宋体"/>
                <w:color w:val="auto"/>
                <w:kern w:val="0"/>
                <w:sz w:val="24"/>
                <w:highlight w:val="none"/>
              </w:rPr>
            </w:pPr>
            <w:r>
              <w:rPr>
                <w:rFonts w:hint="default" w:ascii="宋体" w:hAnsi="宋体" w:cs="宋体"/>
                <w:color w:val="auto"/>
                <w:kern w:val="0"/>
                <w:sz w:val="24"/>
                <w:highlight w:val="none"/>
              </w:rPr>
              <w:t>③</w:t>
            </w:r>
            <w:r>
              <w:rPr>
                <w:rFonts w:hint="eastAsia" w:ascii="宋体" w:hAnsi="宋体" w:cs="宋体"/>
                <w:color w:val="auto"/>
                <w:kern w:val="0"/>
                <w:sz w:val="24"/>
                <w:highlight w:val="none"/>
              </w:rPr>
              <w:t>压力管避让重力自流管；</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④可弯曲管线避让不可、不易弯曲管线；</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⑤布置管线断面时尽可能将管线设在非机动车道、人行道及绿化带下，若必须设在快车道下，则避开车辆轮迹线；</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⑥电力电缆同沟敷设，信息电缆亦同沟敷设；</w:t>
            </w:r>
          </w:p>
          <w:p>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⑦横穿快车道及局部位于快车道的浅埋管加固处理。</w:t>
            </w:r>
          </w:p>
          <w:p>
            <w:pPr>
              <w:adjustRightInd w:val="0"/>
              <w:snapToGrid w:val="0"/>
              <w:spacing w:line="360" w:lineRule="auto"/>
              <w:ind w:firstLine="482" w:firstLineChars="200"/>
              <w:rPr>
                <w:b/>
                <w:color w:val="auto"/>
                <w:sz w:val="24"/>
                <w:highlight w:val="none"/>
              </w:rPr>
            </w:pPr>
            <w:r>
              <w:rPr>
                <w:rFonts w:hint="eastAsia"/>
                <w:b/>
                <w:color w:val="auto"/>
                <w:sz w:val="24"/>
                <w:highlight w:val="none"/>
                <w:lang w:val="en-US" w:eastAsia="zh-CN"/>
              </w:rPr>
              <w:t>(</w:t>
            </w:r>
            <w:r>
              <w:rPr>
                <w:rFonts w:hint="eastAsia"/>
                <w:b/>
                <w:color w:val="auto"/>
                <w:sz w:val="24"/>
                <w:highlight w:val="none"/>
              </w:rPr>
              <w:t>2</w:t>
            </w:r>
            <w:r>
              <w:rPr>
                <w:rFonts w:hint="eastAsia"/>
                <w:b/>
                <w:color w:val="auto"/>
                <w:sz w:val="24"/>
                <w:highlight w:val="none"/>
                <w:lang w:val="en-US" w:eastAsia="zh-CN"/>
              </w:rPr>
              <w:t>)</w:t>
            </w:r>
            <w:r>
              <w:rPr>
                <w:rFonts w:hint="eastAsia"/>
                <w:b/>
                <w:color w:val="auto"/>
                <w:sz w:val="24"/>
                <w:highlight w:val="none"/>
              </w:rPr>
              <w:t>、管线综合规划</w:t>
            </w:r>
          </w:p>
          <w:p>
            <w:pPr>
              <w:widowControl/>
              <w:spacing w:line="360" w:lineRule="auto"/>
              <w:ind w:firstLine="480" w:firstLineChars="200"/>
              <w:rPr>
                <w:color w:val="auto"/>
                <w:kern w:val="0"/>
                <w:sz w:val="24"/>
                <w:highlight w:val="none"/>
              </w:rPr>
            </w:pPr>
            <w:r>
              <w:rPr>
                <w:rFonts w:hint="eastAsia" w:ascii="宋体" w:hAnsi="宋体" w:cs="宋体"/>
                <w:color w:val="auto"/>
                <w:kern w:val="0"/>
                <w:sz w:val="24"/>
                <w:highlight w:val="none"/>
              </w:rPr>
              <w:t>①</w:t>
            </w:r>
            <w:r>
              <w:rPr>
                <w:rFonts w:hint="eastAsia"/>
                <w:color w:val="auto"/>
                <w:kern w:val="0"/>
                <w:sz w:val="24"/>
                <w:highlight w:val="none"/>
              </w:rPr>
              <w:t>给水：</w:t>
            </w:r>
          </w:p>
          <w:p>
            <w:pPr>
              <w:widowControl/>
              <w:spacing w:line="360" w:lineRule="auto"/>
              <w:ind w:firstLine="480" w:firstLineChars="200"/>
              <w:rPr>
                <w:color w:val="auto"/>
                <w:kern w:val="0"/>
                <w:sz w:val="24"/>
                <w:highlight w:val="none"/>
              </w:rPr>
            </w:pPr>
            <w:r>
              <w:rPr>
                <w:rFonts w:hint="eastAsia"/>
                <w:color w:val="auto"/>
                <w:kern w:val="0"/>
                <w:sz w:val="24"/>
                <w:highlight w:val="none"/>
              </w:rPr>
              <w:t>与市区水务集团及清源水务公司对接，本次道路下规划一根DN500给水管道，位于道路南侧人行道外绿化带下，管中心距离道路中心线17.0米，渠化段相应调整。给水过桥段管径为DN300，从桥南侧人行道下通过。</w:t>
            </w:r>
          </w:p>
          <w:p>
            <w:pPr>
              <w:widowControl/>
              <w:spacing w:line="360" w:lineRule="auto"/>
              <w:ind w:firstLine="480" w:firstLineChars="200"/>
              <w:rPr>
                <w:color w:val="auto"/>
                <w:kern w:val="0"/>
                <w:sz w:val="24"/>
                <w:highlight w:val="none"/>
              </w:rPr>
            </w:pPr>
            <w:r>
              <w:rPr>
                <w:rFonts w:hint="default" w:ascii="宋体" w:hAnsi="宋体" w:cs="宋体"/>
                <w:color w:val="auto"/>
                <w:kern w:val="0"/>
                <w:sz w:val="24"/>
                <w:highlight w:val="none"/>
              </w:rPr>
              <w:t>②</w:t>
            </w:r>
            <w:r>
              <w:rPr>
                <w:rFonts w:hint="eastAsia"/>
                <w:color w:val="auto"/>
                <w:kern w:val="0"/>
                <w:sz w:val="24"/>
                <w:highlight w:val="none"/>
              </w:rPr>
              <w:t>排水：</w:t>
            </w:r>
          </w:p>
          <w:p>
            <w:pPr>
              <w:widowControl/>
              <w:spacing w:line="360" w:lineRule="auto"/>
              <w:ind w:firstLine="480" w:firstLineChars="200"/>
              <w:rPr>
                <w:color w:val="auto"/>
                <w:kern w:val="0"/>
                <w:sz w:val="24"/>
                <w:highlight w:val="none"/>
              </w:rPr>
            </w:pPr>
            <w:r>
              <w:rPr>
                <w:rFonts w:hint="eastAsia"/>
                <w:color w:val="auto"/>
                <w:kern w:val="0"/>
                <w:sz w:val="24"/>
                <w:highlight w:val="none"/>
              </w:rPr>
              <w:t>排水体制为雨、污水分流制。</w:t>
            </w:r>
          </w:p>
          <w:p>
            <w:pPr>
              <w:widowControl/>
              <w:spacing w:line="360" w:lineRule="auto"/>
              <w:ind w:firstLine="480" w:firstLineChars="200"/>
              <w:rPr>
                <w:color w:val="auto"/>
                <w:kern w:val="0"/>
                <w:sz w:val="24"/>
                <w:highlight w:val="none"/>
              </w:rPr>
            </w:pPr>
            <w:r>
              <w:rPr>
                <w:rFonts w:hint="eastAsia"/>
                <w:color w:val="auto"/>
                <w:kern w:val="0"/>
                <w:sz w:val="24"/>
                <w:highlight w:val="none"/>
              </w:rPr>
              <w:t>（1）雨水管：</w:t>
            </w:r>
          </w:p>
          <w:p>
            <w:pPr>
              <w:widowControl/>
              <w:spacing w:line="360" w:lineRule="auto"/>
              <w:ind w:firstLine="480" w:firstLineChars="200"/>
              <w:rPr>
                <w:color w:val="auto"/>
                <w:kern w:val="0"/>
                <w:sz w:val="24"/>
                <w:highlight w:val="none"/>
              </w:rPr>
            </w:pPr>
            <w:r>
              <w:rPr>
                <w:rFonts w:hint="eastAsia"/>
                <w:color w:val="auto"/>
                <w:kern w:val="0"/>
                <w:sz w:val="24"/>
                <w:highlight w:val="none"/>
              </w:rPr>
              <w:t>本次道路下规划两根DN400~d1000雨水管，雨水管位于道路两侧非机动车道下，南侧管中心距离道路中心线11.5米，北侧管中心距离道路中心线12.2米，渠化段相应调整。雨水管收集路面雨水及道路两侧地块雨水后往西排入外塘河。</w:t>
            </w:r>
          </w:p>
          <w:p>
            <w:pPr>
              <w:widowControl/>
              <w:spacing w:line="360" w:lineRule="auto"/>
              <w:ind w:firstLine="480" w:firstLineChars="200"/>
              <w:rPr>
                <w:color w:val="auto"/>
                <w:kern w:val="0"/>
                <w:sz w:val="24"/>
                <w:highlight w:val="none"/>
              </w:rPr>
            </w:pPr>
            <w:r>
              <w:rPr>
                <w:rFonts w:hint="eastAsia"/>
                <w:color w:val="auto"/>
                <w:kern w:val="0"/>
                <w:sz w:val="24"/>
                <w:highlight w:val="none"/>
              </w:rPr>
              <w:t>（2）污水管：</w:t>
            </w:r>
          </w:p>
          <w:p>
            <w:pPr>
              <w:widowControl/>
              <w:spacing w:line="360" w:lineRule="auto"/>
              <w:ind w:firstLine="480" w:firstLineChars="200"/>
              <w:rPr>
                <w:color w:val="auto"/>
                <w:kern w:val="0"/>
                <w:sz w:val="24"/>
                <w:highlight w:val="none"/>
              </w:rPr>
            </w:pPr>
            <w:r>
              <w:rPr>
                <w:rFonts w:hint="eastAsia"/>
                <w:color w:val="auto"/>
                <w:kern w:val="0"/>
                <w:sz w:val="24"/>
                <w:highlight w:val="none"/>
              </w:rPr>
              <w:t>与市区水务集团及清源水务公司对接，本次道路下规划一根DN400污水管道，位于道路中心线下。</w:t>
            </w:r>
          </w:p>
          <w:p>
            <w:pPr>
              <w:widowControl/>
              <w:spacing w:line="360" w:lineRule="auto"/>
              <w:ind w:firstLine="480" w:firstLineChars="200"/>
              <w:rPr>
                <w:color w:val="auto"/>
                <w:kern w:val="0"/>
                <w:sz w:val="24"/>
                <w:highlight w:val="none"/>
              </w:rPr>
            </w:pPr>
            <w:r>
              <w:rPr>
                <w:rFonts w:hint="default" w:ascii="宋体" w:hAnsi="宋体" w:cs="宋体"/>
                <w:color w:val="auto"/>
                <w:kern w:val="0"/>
                <w:sz w:val="24"/>
                <w:highlight w:val="none"/>
              </w:rPr>
              <w:t>③</w:t>
            </w:r>
            <w:r>
              <w:rPr>
                <w:rFonts w:hint="eastAsia"/>
                <w:color w:val="auto"/>
                <w:kern w:val="0"/>
                <w:sz w:val="24"/>
                <w:highlight w:val="none"/>
              </w:rPr>
              <w:t>电力电缆：</w:t>
            </w:r>
          </w:p>
          <w:p>
            <w:pPr>
              <w:widowControl/>
              <w:spacing w:line="360" w:lineRule="auto"/>
              <w:ind w:firstLine="480" w:firstLineChars="200"/>
              <w:rPr>
                <w:color w:val="auto"/>
                <w:kern w:val="0"/>
                <w:sz w:val="24"/>
                <w:highlight w:val="none"/>
              </w:rPr>
            </w:pPr>
            <w:r>
              <w:rPr>
                <w:rFonts w:hint="eastAsia"/>
                <w:color w:val="auto"/>
                <w:kern w:val="0"/>
                <w:sz w:val="24"/>
                <w:highlight w:val="none"/>
              </w:rPr>
              <w:t>本次道路下规划一根16通10kV电力通道，位于道路南侧人行道下，通道中心距离道路中心线15.0米，渠化段相应调整。电力管道过桥从桥南侧人行道下通过。</w:t>
            </w:r>
          </w:p>
          <w:p>
            <w:pPr>
              <w:widowControl/>
              <w:spacing w:line="360" w:lineRule="auto"/>
              <w:ind w:firstLine="480" w:firstLineChars="200"/>
              <w:rPr>
                <w:color w:val="auto"/>
                <w:kern w:val="0"/>
                <w:sz w:val="24"/>
                <w:highlight w:val="none"/>
              </w:rPr>
            </w:pPr>
            <w:r>
              <w:rPr>
                <w:rFonts w:hint="eastAsia" w:ascii="宋体" w:hAnsi="宋体" w:cs="宋体"/>
                <w:color w:val="auto"/>
                <w:kern w:val="0"/>
                <w:sz w:val="24"/>
                <w:highlight w:val="none"/>
              </w:rPr>
              <w:t>④</w:t>
            </w:r>
            <w:r>
              <w:rPr>
                <w:rFonts w:hint="eastAsia"/>
                <w:color w:val="auto"/>
                <w:kern w:val="0"/>
                <w:sz w:val="24"/>
                <w:highlight w:val="none"/>
              </w:rPr>
              <w:t>路灯电缆：</w:t>
            </w:r>
          </w:p>
          <w:p>
            <w:pPr>
              <w:widowControl/>
              <w:spacing w:line="360" w:lineRule="auto"/>
              <w:ind w:firstLine="480" w:firstLineChars="200"/>
              <w:rPr>
                <w:color w:val="auto"/>
                <w:kern w:val="0"/>
                <w:sz w:val="24"/>
                <w:highlight w:val="none"/>
              </w:rPr>
            </w:pPr>
            <w:r>
              <w:rPr>
                <w:rFonts w:hint="eastAsia"/>
                <w:color w:val="auto"/>
                <w:kern w:val="0"/>
                <w:sz w:val="24"/>
                <w:highlight w:val="none"/>
              </w:rPr>
              <w:t>本次道路下规划两根G50路灯电缆，位于道路两侧侧分带下，南侧路灯电缆同管位还规划一根G40路灯控制电缆，管中心距离道路中心线8.9米，渠化段相应调整。</w:t>
            </w:r>
          </w:p>
          <w:p>
            <w:pPr>
              <w:widowControl/>
              <w:spacing w:line="360" w:lineRule="auto"/>
              <w:ind w:firstLine="480" w:firstLineChars="200"/>
              <w:rPr>
                <w:color w:val="auto"/>
                <w:kern w:val="0"/>
                <w:sz w:val="24"/>
                <w:highlight w:val="none"/>
              </w:rPr>
            </w:pPr>
            <w:r>
              <w:rPr>
                <w:rFonts w:hint="eastAsia" w:ascii="宋体" w:hAnsi="宋体" w:cs="宋体"/>
                <w:color w:val="auto"/>
                <w:kern w:val="0"/>
                <w:sz w:val="24"/>
                <w:highlight w:val="none"/>
              </w:rPr>
              <w:t>⑤</w:t>
            </w:r>
            <w:r>
              <w:rPr>
                <w:rFonts w:hint="eastAsia"/>
                <w:color w:val="auto"/>
                <w:kern w:val="0"/>
                <w:sz w:val="24"/>
                <w:highlight w:val="none"/>
              </w:rPr>
              <w:t>信息通道：</w:t>
            </w:r>
          </w:p>
          <w:p>
            <w:pPr>
              <w:widowControl/>
              <w:spacing w:line="360" w:lineRule="auto"/>
              <w:ind w:firstLine="480" w:firstLineChars="200"/>
              <w:rPr>
                <w:color w:val="auto"/>
                <w:kern w:val="0"/>
                <w:sz w:val="24"/>
                <w:highlight w:val="none"/>
              </w:rPr>
            </w:pPr>
            <w:r>
              <w:rPr>
                <w:rFonts w:hint="eastAsia"/>
                <w:color w:val="auto"/>
                <w:kern w:val="0"/>
                <w:sz w:val="24"/>
                <w:highlight w:val="none"/>
              </w:rPr>
              <w:t>本次道路下规划一根16通通信通道，位于道路北侧人行道下，管中心距离道路中心线15.0米，渠化段相应调整。通信管道过桥从桥北侧人行道下通过。</w:t>
            </w:r>
          </w:p>
          <w:p>
            <w:pPr>
              <w:widowControl/>
              <w:spacing w:line="360" w:lineRule="auto"/>
              <w:ind w:firstLine="480" w:firstLineChars="200"/>
              <w:rPr>
                <w:color w:val="auto"/>
                <w:kern w:val="0"/>
                <w:sz w:val="24"/>
                <w:highlight w:val="none"/>
              </w:rPr>
            </w:pPr>
            <w:r>
              <w:rPr>
                <w:rFonts w:hint="eastAsia" w:ascii="宋体" w:hAnsi="宋体" w:cs="宋体"/>
                <w:color w:val="auto"/>
                <w:kern w:val="0"/>
                <w:sz w:val="24"/>
                <w:highlight w:val="none"/>
              </w:rPr>
              <w:t>⑦</w:t>
            </w:r>
            <w:r>
              <w:rPr>
                <w:rFonts w:hint="eastAsia"/>
                <w:color w:val="auto"/>
                <w:kern w:val="0"/>
                <w:sz w:val="24"/>
                <w:highlight w:val="none"/>
              </w:rPr>
              <w:t>燃气：</w:t>
            </w:r>
          </w:p>
          <w:p>
            <w:pPr>
              <w:widowControl/>
              <w:spacing w:line="360" w:lineRule="auto"/>
              <w:ind w:firstLine="480" w:firstLineChars="200"/>
              <w:rPr>
                <w:color w:val="auto"/>
                <w:kern w:val="0"/>
                <w:sz w:val="24"/>
                <w:highlight w:val="none"/>
              </w:rPr>
            </w:pPr>
            <w:r>
              <w:rPr>
                <w:rFonts w:hint="eastAsia"/>
                <w:color w:val="auto"/>
                <w:kern w:val="0"/>
                <w:sz w:val="24"/>
                <w:highlight w:val="none"/>
              </w:rPr>
              <w:t>本次道路下规划一根DN300中压燃气管道，位于道路北侧非机动车道下，管中心距离道路中心线10.3米，渠化段相应调整。燃气过桥从桥北侧人行道下通过。</w:t>
            </w:r>
          </w:p>
          <w:p>
            <w:pPr>
              <w:widowControl/>
              <w:spacing w:line="360" w:lineRule="auto"/>
              <w:ind w:firstLine="420" w:firstLineChars="200"/>
              <w:jc w:val="center"/>
              <w:rPr>
                <w:color w:val="auto"/>
                <w:kern w:val="0"/>
                <w:sz w:val="24"/>
                <w:highlight w:val="none"/>
              </w:rPr>
            </w:pPr>
            <w:r>
              <w:rPr>
                <w:color w:val="auto"/>
                <w:highlight w:val="none"/>
              </w:rPr>
              <w:drawing>
                <wp:inline distT="0" distB="0" distL="114300" distR="114300">
                  <wp:extent cx="3394710" cy="2520315"/>
                  <wp:effectExtent l="0" t="0" r="15240" b="13335"/>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20" cstate="print"/>
                          <a:stretch>
                            <a:fillRect/>
                          </a:stretch>
                        </pic:blipFill>
                        <pic:spPr>
                          <a:xfrm>
                            <a:off x="0" y="0"/>
                            <a:ext cx="3394710" cy="2520315"/>
                          </a:xfrm>
                          <a:prstGeom prst="rect">
                            <a:avLst/>
                          </a:prstGeom>
                          <a:noFill/>
                          <a:ln>
                            <a:noFill/>
                          </a:ln>
                        </pic:spPr>
                      </pic:pic>
                    </a:graphicData>
                  </a:graphic>
                </wp:inline>
              </w:drawing>
            </w:r>
          </w:p>
          <w:p>
            <w:pPr>
              <w:widowControl/>
              <w:spacing w:line="360" w:lineRule="auto"/>
              <w:ind w:firstLine="422" w:firstLineChars="200"/>
              <w:jc w:val="center"/>
              <w:rPr>
                <w:color w:val="auto"/>
                <w:kern w:val="0"/>
                <w:sz w:val="24"/>
                <w:highlight w:val="none"/>
              </w:rPr>
            </w:pPr>
            <w:r>
              <w:rPr>
                <w:rFonts w:hint="eastAsia"/>
                <w:b/>
                <w:bCs/>
                <w:color w:val="auto"/>
                <w:szCs w:val="21"/>
                <w:highlight w:val="none"/>
              </w:rPr>
              <w:t>图2-12扬东路西延管线标准横断面图</w:t>
            </w:r>
          </w:p>
          <w:p>
            <w:pPr>
              <w:widowControl/>
              <w:spacing w:line="360" w:lineRule="auto"/>
              <w:ind w:firstLine="420" w:firstLineChars="200"/>
              <w:jc w:val="center"/>
              <w:rPr>
                <w:color w:val="auto"/>
                <w:kern w:val="0"/>
                <w:sz w:val="24"/>
                <w:highlight w:val="none"/>
              </w:rPr>
            </w:pPr>
            <w:r>
              <w:rPr>
                <w:color w:val="auto"/>
                <w:highlight w:val="none"/>
              </w:rPr>
              <w:drawing>
                <wp:inline distT="0" distB="0" distL="114300" distR="114300">
                  <wp:extent cx="4817745" cy="2339975"/>
                  <wp:effectExtent l="0" t="0" r="1905" b="317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21" cstate="print"/>
                          <a:stretch>
                            <a:fillRect/>
                          </a:stretch>
                        </pic:blipFill>
                        <pic:spPr>
                          <a:xfrm>
                            <a:off x="0" y="0"/>
                            <a:ext cx="4817745" cy="2339975"/>
                          </a:xfrm>
                          <a:prstGeom prst="rect">
                            <a:avLst/>
                          </a:prstGeom>
                          <a:noFill/>
                          <a:ln>
                            <a:noFill/>
                          </a:ln>
                        </pic:spPr>
                      </pic:pic>
                    </a:graphicData>
                  </a:graphic>
                </wp:inline>
              </w:drawing>
            </w:r>
          </w:p>
          <w:p>
            <w:pPr>
              <w:widowControl/>
              <w:spacing w:line="360" w:lineRule="auto"/>
              <w:ind w:firstLine="422" w:firstLineChars="200"/>
              <w:jc w:val="center"/>
              <w:rPr>
                <w:color w:val="auto"/>
                <w:kern w:val="0"/>
                <w:sz w:val="24"/>
                <w:highlight w:val="none"/>
              </w:rPr>
            </w:pPr>
            <w:r>
              <w:rPr>
                <w:rFonts w:hint="eastAsia"/>
                <w:b/>
                <w:bCs/>
                <w:color w:val="auto"/>
                <w:szCs w:val="21"/>
                <w:highlight w:val="none"/>
              </w:rPr>
              <w:t>图2-13过桥管线标准横断面图</w:t>
            </w:r>
          </w:p>
          <w:p>
            <w:pPr>
              <w:widowControl/>
              <w:spacing w:line="360" w:lineRule="auto"/>
              <w:rPr>
                <w:b/>
                <w:bCs/>
                <w:color w:val="auto"/>
                <w:kern w:val="0"/>
                <w:sz w:val="24"/>
                <w:highlight w:val="none"/>
              </w:rPr>
            </w:pPr>
            <w:r>
              <w:rPr>
                <w:rFonts w:hint="eastAsia"/>
                <w:b/>
                <w:bCs/>
                <w:color w:val="auto"/>
                <w:kern w:val="0"/>
                <w:sz w:val="24"/>
                <w:highlight w:val="none"/>
              </w:rPr>
              <w:t>6、其他配套工程</w:t>
            </w:r>
          </w:p>
          <w:p>
            <w:pPr>
              <w:adjustRightInd w:val="0"/>
              <w:snapToGrid w:val="0"/>
              <w:spacing w:line="360" w:lineRule="auto"/>
              <w:ind w:firstLine="482" w:firstLineChars="200"/>
              <w:rPr>
                <w:b/>
                <w:color w:val="auto"/>
                <w:sz w:val="24"/>
                <w:highlight w:val="none"/>
              </w:rPr>
            </w:pPr>
            <w:r>
              <w:rPr>
                <w:rFonts w:hint="eastAsia"/>
                <w:b/>
                <w:color w:val="auto"/>
                <w:sz w:val="24"/>
                <w:highlight w:val="none"/>
                <w:lang w:val="en-US" w:eastAsia="zh-CN"/>
              </w:rPr>
              <w:t>(</w:t>
            </w:r>
            <w:r>
              <w:rPr>
                <w:rFonts w:hint="eastAsia"/>
                <w:b/>
                <w:color w:val="auto"/>
                <w:sz w:val="24"/>
                <w:highlight w:val="none"/>
              </w:rPr>
              <w:t>1</w:t>
            </w:r>
            <w:r>
              <w:rPr>
                <w:rFonts w:hint="eastAsia"/>
                <w:b/>
                <w:color w:val="auto"/>
                <w:sz w:val="24"/>
                <w:highlight w:val="none"/>
                <w:lang w:val="en-US" w:eastAsia="zh-CN"/>
              </w:rPr>
              <w:t>)</w:t>
            </w:r>
            <w:r>
              <w:rPr>
                <w:rFonts w:hint="eastAsia"/>
                <w:b/>
                <w:color w:val="auto"/>
                <w:sz w:val="24"/>
                <w:highlight w:val="none"/>
              </w:rPr>
              <w:t xml:space="preserve">交通工程 </w:t>
            </w:r>
          </w:p>
          <w:p>
            <w:pPr>
              <w:widowControl/>
              <w:spacing w:line="360" w:lineRule="auto"/>
              <w:ind w:firstLine="480" w:firstLineChars="200"/>
              <w:rPr>
                <w:color w:val="auto"/>
                <w:kern w:val="0"/>
                <w:sz w:val="24"/>
                <w:highlight w:val="none"/>
              </w:rPr>
            </w:pPr>
            <w:r>
              <w:rPr>
                <w:rFonts w:hint="eastAsia"/>
                <w:color w:val="auto"/>
                <w:kern w:val="0"/>
                <w:sz w:val="24"/>
                <w:highlight w:val="none"/>
              </w:rPr>
              <w:t>扬东路工程西起园区界外塘河，向东下穿苏嘉杭高速高架桥，东至扬帆路，路线全长约 0.35km。沿线与扬帆路相交，需对沿线交通工程设施进行新建，对扬帆路交叉口交通设施需相应调整。</w:t>
            </w:r>
          </w:p>
          <w:p>
            <w:pPr>
              <w:adjustRightInd w:val="0"/>
              <w:snapToGrid w:val="0"/>
              <w:spacing w:line="360" w:lineRule="auto"/>
              <w:ind w:firstLine="482" w:firstLineChars="200"/>
              <w:rPr>
                <w:b/>
                <w:color w:val="auto"/>
                <w:sz w:val="24"/>
                <w:highlight w:val="none"/>
              </w:rPr>
            </w:pPr>
            <w:r>
              <w:rPr>
                <w:rFonts w:hint="eastAsia"/>
                <w:b/>
                <w:color w:val="auto"/>
                <w:sz w:val="24"/>
                <w:highlight w:val="none"/>
                <w:lang w:val="en-US" w:eastAsia="zh-CN"/>
              </w:rPr>
              <w:t>(</w:t>
            </w:r>
            <w:r>
              <w:rPr>
                <w:rFonts w:hint="eastAsia"/>
                <w:b/>
                <w:color w:val="auto"/>
                <w:sz w:val="24"/>
                <w:highlight w:val="none"/>
              </w:rPr>
              <w:t>2</w:t>
            </w:r>
            <w:r>
              <w:rPr>
                <w:rFonts w:hint="eastAsia"/>
                <w:b/>
                <w:color w:val="auto"/>
                <w:sz w:val="24"/>
                <w:highlight w:val="none"/>
                <w:lang w:val="en-US" w:eastAsia="zh-CN"/>
              </w:rPr>
              <w:t>)</w:t>
            </w:r>
            <w:r>
              <w:rPr>
                <w:rFonts w:hint="eastAsia"/>
                <w:b/>
                <w:color w:val="auto"/>
                <w:sz w:val="24"/>
                <w:highlight w:val="none"/>
              </w:rPr>
              <w:t>标志设计</w:t>
            </w:r>
          </w:p>
          <w:p>
            <w:pPr>
              <w:widowControl/>
              <w:spacing w:line="360" w:lineRule="auto"/>
              <w:ind w:firstLine="480" w:firstLineChars="200"/>
              <w:rPr>
                <w:color w:val="auto"/>
                <w:kern w:val="0"/>
                <w:sz w:val="24"/>
                <w:highlight w:val="none"/>
              </w:rPr>
            </w:pPr>
            <w:r>
              <w:rPr>
                <w:rFonts w:hint="eastAsia"/>
                <w:color w:val="auto"/>
                <w:kern w:val="0"/>
                <w:sz w:val="24"/>
                <w:highlight w:val="none"/>
              </w:rPr>
              <w:t>①标志设计原则</w:t>
            </w:r>
          </w:p>
          <w:p>
            <w:pPr>
              <w:widowControl/>
              <w:spacing w:line="360" w:lineRule="auto"/>
              <w:ind w:firstLine="480" w:firstLineChars="200"/>
              <w:rPr>
                <w:color w:val="auto"/>
                <w:kern w:val="0"/>
                <w:sz w:val="24"/>
                <w:highlight w:val="none"/>
              </w:rPr>
            </w:pPr>
            <w:r>
              <w:rPr>
                <w:rFonts w:hint="eastAsia"/>
                <w:color w:val="auto"/>
                <w:kern w:val="0"/>
                <w:sz w:val="24"/>
                <w:highlight w:val="none"/>
              </w:rPr>
              <w:t>交通标志一般按照国家标准及有关规范执行，力求做到标志类型齐全、功能完整。通过交通标志提供准确及时的信息和引导，使道路使用者顺利快捷地抵达目的地，促进交通畅通和行车安全。</w:t>
            </w:r>
          </w:p>
          <w:p>
            <w:pPr>
              <w:widowControl/>
              <w:spacing w:line="360" w:lineRule="auto"/>
              <w:ind w:firstLine="480" w:firstLineChars="200"/>
              <w:rPr>
                <w:color w:val="auto"/>
                <w:kern w:val="0"/>
                <w:sz w:val="24"/>
                <w:highlight w:val="none"/>
              </w:rPr>
            </w:pPr>
            <w:r>
              <w:rPr>
                <w:rFonts w:hint="default"/>
                <w:color w:val="auto"/>
                <w:kern w:val="0"/>
                <w:sz w:val="24"/>
                <w:highlight w:val="none"/>
              </w:rPr>
              <w:t>②</w:t>
            </w:r>
            <w:r>
              <w:rPr>
                <w:rFonts w:hint="eastAsia"/>
                <w:color w:val="auto"/>
                <w:kern w:val="0"/>
                <w:sz w:val="24"/>
                <w:highlight w:val="none"/>
              </w:rPr>
              <w:t>标志平面布设</w:t>
            </w:r>
          </w:p>
          <w:p>
            <w:pPr>
              <w:widowControl/>
              <w:spacing w:line="360" w:lineRule="auto"/>
              <w:ind w:firstLine="480" w:firstLineChars="200"/>
              <w:rPr>
                <w:color w:val="auto"/>
                <w:kern w:val="0"/>
                <w:sz w:val="24"/>
                <w:highlight w:val="none"/>
              </w:rPr>
            </w:pPr>
            <w:r>
              <w:rPr>
                <w:rFonts w:hint="eastAsia"/>
                <w:color w:val="auto"/>
                <w:kern w:val="0"/>
                <w:sz w:val="24"/>
                <w:highlight w:val="none"/>
              </w:rPr>
              <w:t>为了满足道路使用者对标志信息的视认，交通标志的设置应结合道路及交通情况设置。版面注记及结构形式应与道路线形、周围环境协调一致。本工程标志设计总结了类似工程的经验，并结合本工程的特点，依照《道路交通标志和标线》（GB5768-2009）进行设计，全线设置功能齐全的各类标志。</w:t>
            </w:r>
          </w:p>
          <w:p>
            <w:pPr>
              <w:widowControl/>
              <w:spacing w:line="360" w:lineRule="auto"/>
              <w:ind w:firstLine="480" w:firstLineChars="200"/>
              <w:rPr>
                <w:color w:val="auto"/>
                <w:kern w:val="0"/>
                <w:sz w:val="24"/>
                <w:highlight w:val="none"/>
              </w:rPr>
            </w:pPr>
            <w:r>
              <w:rPr>
                <w:rFonts w:hint="default"/>
                <w:color w:val="auto"/>
                <w:kern w:val="0"/>
                <w:sz w:val="24"/>
                <w:highlight w:val="none"/>
              </w:rPr>
              <w:t>③</w:t>
            </w:r>
            <w:r>
              <w:rPr>
                <w:rFonts w:hint="eastAsia"/>
                <w:color w:val="auto"/>
                <w:kern w:val="0"/>
                <w:sz w:val="24"/>
                <w:highlight w:val="none"/>
              </w:rPr>
              <w:t>主标志规格</w:t>
            </w:r>
          </w:p>
          <w:p>
            <w:pPr>
              <w:widowControl/>
              <w:spacing w:line="360" w:lineRule="auto"/>
              <w:ind w:firstLine="480" w:firstLineChars="200"/>
              <w:rPr>
                <w:color w:val="auto"/>
                <w:kern w:val="0"/>
                <w:sz w:val="24"/>
                <w:highlight w:val="none"/>
              </w:rPr>
            </w:pPr>
            <w:r>
              <w:rPr>
                <w:rFonts w:hint="eastAsia"/>
                <w:color w:val="auto"/>
                <w:kern w:val="0"/>
                <w:sz w:val="24"/>
                <w:highlight w:val="none"/>
              </w:rPr>
              <w:t>警告标志：三角形标志，边长90cm；</w:t>
            </w:r>
          </w:p>
          <w:p>
            <w:pPr>
              <w:widowControl/>
              <w:spacing w:line="360" w:lineRule="auto"/>
              <w:ind w:firstLine="480" w:firstLineChars="200"/>
              <w:rPr>
                <w:color w:val="auto"/>
                <w:kern w:val="0"/>
                <w:sz w:val="24"/>
                <w:highlight w:val="none"/>
              </w:rPr>
            </w:pPr>
            <w:r>
              <w:rPr>
                <w:rFonts w:hint="eastAsia"/>
                <w:color w:val="auto"/>
                <w:kern w:val="0"/>
                <w:sz w:val="24"/>
                <w:highlight w:val="none"/>
              </w:rPr>
              <w:t xml:space="preserve">禁令标志：圆形标志外径80cm，三角形标志边长90cm </w:t>
            </w:r>
          </w:p>
          <w:p>
            <w:pPr>
              <w:widowControl/>
              <w:spacing w:line="360" w:lineRule="auto"/>
              <w:ind w:firstLine="480" w:firstLineChars="200"/>
              <w:rPr>
                <w:color w:val="auto"/>
                <w:kern w:val="0"/>
                <w:sz w:val="24"/>
                <w:highlight w:val="none"/>
              </w:rPr>
            </w:pPr>
            <w:r>
              <w:rPr>
                <w:rFonts w:hint="eastAsia"/>
                <w:color w:val="auto"/>
                <w:kern w:val="0"/>
                <w:sz w:val="24"/>
                <w:highlight w:val="none"/>
              </w:rPr>
              <w:t>指示标志：圆形外径80cm，正方形边长80cm；</w:t>
            </w:r>
          </w:p>
          <w:p>
            <w:pPr>
              <w:widowControl/>
              <w:spacing w:line="360" w:lineRule="auto"/>
              <w:ind w:firstLine="480" w:firstLineChars="200"/>
              <w:rPr>
                <w:color w:val="auto"/>
                <w:kern w:val="0"/>
                <w:sz w:val="24"/>
                <w:highlight w:val="none"/>
              </w:rPr>
            </w:pPr>
            <w:r>
              <w:rPr>
                <w:rFonts w:hint="eastAsia"/>
                <w:color w:val="auto"/>
                <w:kern w:val="0"/>
                <w:sz w:val="24"/>
                <w:highlight w:val="none"/>
              </w:rPr>
              <w:t>指路标志：矩形。</w:t>
            </w:r>
          </w:p>
          <w:p>
            <w:pPr>
              <w:widowControl/>
              <w:spacing w:line="360" w:lineRule="auto"/>
              <w:ind w:firstLine="480" w:firstLineChars="200"/>
              <w:rPr>
                <w:color w:val="auto"/>
                <w:kern w:val="0"/>
                <w:sz w:val="24"/>
                <w:highlight w:val="none"/>
              </w:rPr>
            </w:pPr>
            <w:r>
              <w:rPr>
                <w:rFonts w:hint="eastAsia"/>
                <w:color w:val="auto"/>
                <w:kern w:val="0"/>
                <w:sz w:val="24"/>
                <w:highlight w:val="none"/>
              </w:rPr>
              <w:t>④指路标志板文字布置</w:t>
            </w:r>
          </w:p>
          <w:p>
            <w:pPr>
              <w:widowControl/>
              <w:spacing w:line="360" w:lineRule="auto"/>
              <w:ind w:firstLine="480" w:firstLineChars="200"/>
              <w:rPr>
                <w:color w:val="auto"/>
                <w:kern w:val="0"/>
                <w:sz w:val="24"/>
                <w:highlight w:val="none"/>
              </w:rPr>
            </w:pPr>
            <w:r>
              <w:rPr>
                <w:rFonts w:hint="eastAsia"/>
                <w:color w:val="auto"/>
                <w:kern w:val="0"/>
                <w:sz w:val="24"/>
                <w:highlight w:val="none"/>
              </w:rPr>
              <w:t>版面采用中英文对照。指路标志汉字高宽比1:0.75~1，字体为交通部发布的道路交通标志字体；英文字高为汉字高度的1／2，英文首字母采用大写，其余字母小写。版面尺寸按不同版面内容确定，尽量达到统一。</w:t>
            </w:r>
          </w:p>
          <w:p>
            <w:pPr>
              <w:adjustRightInd w:val="0"/>
              <w:snapToGrid w:val="0"/>
              <w:spacing w:line="360" w:lineRule="auto"/>
              <w:ind w:firstLine="482" w:firstLineChars="200"/>
              <w:rPr>
                <w:b/>
                <w:color w:val="auto"/>
                <w:sz w:val="24"/>
                <w:highlight w:val="none"/>
              </w:rPr>
            </w:pPr>
            <w:r>
              <w:rPr>
                <w:rFonts w:hint="eastAsia"/>
                <w:b/>
                <w:color w:val="auto"/>
                <w:sz w:val="24"/>
                <w:highlight w:val="none"/>
                <w:lang w:val="en-US" w:eastAsia="zh-CN"/>
              </w:rPr>
              <w:t>(</w:t>
            </w:r>
            <w:r>
              <w:rPr>
                <w:rFonts w:hint="eastAsia"/>
                <w:b/>
                <w:color w:val="auto"/>
                <w:sz w:val="24"/>
                <w:highlight w:val="none"/>
              </w:rPr>
              <w:t>3</w:t>
            </w:r>
            <w:r>
              <w:rPr>
                <w:rFonts w:hint="eastAsia"/>
                <w:b/>
                <w:color w:val="auto"/>
                <w:sz w:val="24"/>
                <w:highlight w:val="none"/>
                <w:lang w:val="en-US" w:eastAsia="zh-CN"/>
              </w:rPr>
              <w:t>)</w:t>
            </w:r>
            <w:r>
              <w:rPr>
                <w:rFonts w:hint="eastAsia"/>
                <w:b/>
                <w:color w:val="auto"/>
                <w:sz w:val="24"/>
                <w:highlight w:val="none"/>
              </w:rPr>
              <w:t>标线设计</w:t>
            </w:r>
          </w:p>
          <w:p>
            <w:pPr>
              <w:widowControl/>
              <w:spacing w:line="360" w:lineRule="auto"/>
              <w:ind w:firstLine="480" w:firstLineChars="200"/>
              <w:rPr>
                <w:color w:val="auto"/>
                <w:kern w:val="0"/>
                <w:sz w:val="24"/>
                <w:highlight w:val="none"/>
              </w:rPr>
            </w:pPr>
            <w:r>
              <w:rPr>
                <w:rFonts w:hint="eastAsia"/>
                <w:color w:val="auto"/>
                <w:kern w:val="0"/>
                <w:sz w:val="24"/>
                <w:highlight w:val="none"/>
              </w:rPr>
              <w:t>①标线设计原则</w:t>
            </w:r>
          </w:p>
          <w:p>
            <w:pPr>
              <w:widowControl/>
              <w:spacing w:line="360" w:lineRule="auto"/>
              <w:ind w:firstLine="480" w:firstLineChars="200"/>
              <w:rPr>
                <w:color w:val="auto"/>
                <w:kern w:val="0"/>
                <w:sz w:val="24"/>
                <w:highlight w:val="none"/>
              </w:rPr>
            </w:pPr>
            <w:r>
              <w:rPr>
                <w:rFonts w:hint="eastAsia"/>
                <w:color w:val="auto"/>
                <w:kern w:val="0"/>
                <w:sz w:val="24"/>
                <w:highlight w:val="none"/>
              </w:rPr>
              <w:t>道路交通标线是施划或安装于道路上的各种线条、箭头、文字、图案及立面标记、实体标记、突起路标和轮廓标等所构成的交通设施，它的作用是向道路使用者传递道路交通的规则、警告、指引等信息，可以与标志配合使用，也可以单独使用。标线的布设应力求做到类型齐全、信息准确、功能完整，使道路使用者各行其道，有序通行。</w:t>
            </w:r>
          </w:p>
          <w:p>
            <w:pPr>
              <w:widowControl/>
              <w:spacing w:line="360" w:lineRule="auto"/>
              <w:ind w:firstLine="480" w:firstLineChars="200"/>
              <w:rPr>
                <w:color w:val="auto"/>
                <w:kern w:val="0"/>
                <w:sz w:val="24"/>
                <w:highlight w:val="none"/>
              </w:rPr>
            </w:pPr>
            <w:r>
              <w:rPr>
                <w:rFonts w:hint="eastAsia"/>
                <w:color w:val="auto"/>
                <w:kern w:val="0"/>
                <w:sz w:val="24"/>
                <w:highlight w:val="none"/>
              </w:rPr>
              <w:t>②标线的平面布设</w:t>
            </w:r>
          </w:p>
          <w:p>
            <w:pPr>
              <w:widowControl/>
              <w:spacing w:line="360" w:lineRule="auto"/>
              <w:ind w:firstLine="480" w:firstLineChars="200"/>
              <w:rPr>
                <w:color w:val="auto"/>
                <w:kern w:val="0"/>
                <w:sz w:val="24"/>
                <w:highlight w:val="none"/>
              </w:rPr>
            </w:pPr>
            <w:r>
              <w:rPr>
                <w:rFonts w:hint="eastAsia"/>
                <w:color w:val="auto"/>
                <w:kern w:val="0"/>
                <w:sz w:val="24"/>
                <w:highlight w:val="none"/>
              </w:rPr>
              <w:t>根据标线的布设原则，本工程全线布设的标线类型主要有以下几种：</w:t>
            </w:r>
          </w:p>
          <w:p>
            <w:pPr>
              <w:widowControl/>
              <w:spacing w:line="360" w:lineRule="auto"/>
              <w:ind w:firstLine="480" w:firstLineChars="200"/>
              <w:rPr>
                <w:color w:val="auto"/>
                <w:kern w:val="0"/>
                <w:sz w:val="24"/>
                <w:highlight w:val="none"/>
              </w:rPr>
            </w:pPr>
            <w:r>
              <w:rPr>
                <w:rFonts w:hint="eastAsia"/>
                <w:color w:val="auto"/>
                <w:kern w:val="0"/>
                <w:sz w:val="24"/>
                <w:highlight w:val="none"/>
                <w:lang w:val="en-US" w:eastAsia="zh-CN"/>
              </w:rPr>
              <w:t>a、</w:t>
            </w:r>
            <w:r>
              <w:rPr>
                <w:rFonts w:hint="eastAsia"/>
                <w:color w:val="auto"/>
                <w:kern w:val="0"/>
                <w:sz w:val="24"/>
                <w:highlight w:val="none"/>
              </w:rPr>
              <w:t>导向车道线：设置于交叉口进口道的车行道分界线，用以指示车辆按导向方向行驶，禁止车辆变换车道，为白色实线，线宽15cm。</w:t>
            </w:r>
          </w:p>
          <w:p>
            <w:pPr>
              <w:widowControl/>
              <w:spacing w:line="360" w:lineRule="auto"/>
              <w:ind w:firstLine="480" w:firstLineChars="200"/>
              <w:rPr>
                <w:color w:val="auto"/>
                <w:kern w:val="0"/>
                <w:sz w:val="24"/>
                <w:highlight w:val="none"/>
              </w:rPr>
            </w:pPr>
            <w:r>
              <w:rPr>
                <w:rFonts w:hint="eastAsia"/>
                <w:color w:val="auto"/>
                <w:kern w:val="0"/>
                <w:sz w:val="24"/>
                <w:highlight w:val="none"/>
                <w:lang w:val="en-US" w:eastAsia="zh-CN"/>
              </w:rPr>
              <w:t>b、</w:t>
            </w:r>
            <w:r>
              <w:rPr>
                <w:rFonts w:hint="eastAsia"/>
                <w:color w:val="auto"/>
                <w:kern w:val="0"/>
                <w:sz w:val="24"/>
                <w:highlight w:val="none"/>
              </w:rPr>
              <w:t>车行道分界线：用以分隔同一方向行驶的几条车道的白色虚线，线宽15cm。线形采用实线长200cm，间隔400cm的型式。表示保证安全的情况下，允许车辆短时越线变换车道行驶。</w:t>
            </w:r>
          </w:p>
          <w:p>
            <w:pPr>
              <w:widowControl/>
              <w:spacing w:line="360" w:lineRule="auto"/>
              <w:ind w:firstLine="480" w:firstLineChars="200"/>
              <w:rPr>
                <w:color w:val="auto"/>
                <w:kern w:val="0"/>
                <w:sz w:val="24"/>
                <w:highlight w:val="none"/>
              </w:rPr>
            </w:pPr>
            <w:r>
              <w:rPr>
                <w:rFonts w:hint="eastAsia"/>
                <w:color w:val="auto"/>
                <w:kern w:val="0"/>
                <w:sz w:val="24"/>
                <w:highlight w:val="none"/>
                <w:lang w:val="en-US" w:eastAsia="zh-CN"/>
              </w:rPr>
              <w:t>c、</w:t>
            </w:r>
            <w:r>
              <w:rPr>
                <w:rFonts w:hint="eastAsia"/>
                <w:color w:val="auto"/>
                <w:kern w:val="0"/>
                <w:sz w:val="24"/>
                <w:highlight w:val="none"/>
              </w:rPr>
              <w:t>车行道边缘线：用以指示机动车道的边缘或用以划分机动车道与非机动车道的分界，线宽15cm。当为白色实线时，禁止车辆跨越车行道边缘或机非分界。</w:t>
            </w:r>
          </w:p>
          <w:p>
            <w:pPr>
              <w:widowControl/>
              <w:spacing w:line="360" w:lineRule="auto"/>
              <w:ind w:firstLine="480" w:firstLineChars="200"/>
              <w:rPr>
                <w:color w:val="auto"/>
                <w:kern w:val="0"/>
                <w:sz w:val="24"/>
                <w:highlight w:val="none"/>
              </w:rPr>
            </w:pPr>
            <w:r>
              <w:rPr>
                <w:rFonts w:hint="eastAsia"/>
                <w:color w:val="auto"/>
                <w:kern w:val="0"/>
                <w:sz w:val="24"/>
                <w:highlight w:val="none"/>
                <w:lang w:val="en-US" w:eastAsia="zh-CN"/>
              </w:rPr>
              <w:t>d、</w:t>
            </w:r>
            <w:r>
              <w:rPr>
                <w:rFonts w:hint="eastAsia"/>
                <w:color w:val="auto"/>
                <w:kern w:val="0"/>
                <w:sz w:val="24"/>
                <w:highlight w:val="none"/>
              </w:rPr>
              <w:t>停止线：设在信号灯控制交叉口入口处，或路段人行横道前，要求车辆在停止线后等候放行或行人通过。该标线为白色实线，线宽40cm。</w:t>
            </w:r>
          </w:p>
          <w:p>
            <w:pPr>
              <w:widowControl/>
              <w:spacing w:line="360" w:lineRule="auto"/>
              <w:ind w:firstLine="480" w:firstLineChars="200"/>
              <w:rPr>
                <w:color w:val="auto"/>
                <w:kern w:val="0"/>
                <w:sz w:val="24"/>
                <w:highlight w:val="none"/>
              </w:rPr>
            </w:pPr>
            <w:r>
              <w:rPr>
                <w:rFonts w:hint="eastAsia"/>
                <w:color w:val="auto"/>
                <w:kern w:val="0"/>
                <w:sz w:val="24"/>
                <w:highlight w:val="none"/>
                <w:lang w:val="en-US" w:eastAsia="zh-CN"/>
              </w:rPr>
              <w:t>e、</w:t>
            </w:r>
            <w:r>
              <w:rPr>
                <w:rFonts w:hint="eastAsia"/>
                <w:color w:val="auto"/>
                <w:kern w:val="0"/>
                <w:sz w:val="24"/>
                <w:highlight w:val="none"/>
              </w:rPr>
              <w:t>人行横道线：设置在交叉口和路段行人穿越道路较为集中处。为白色平行粗实线，线宽40cm，净距60cm，线长为500cm。</w:t>
            </w:r>
          </w:p>
          <w:p>
            <w:pPr>
              <w:widowControl/>
              <w:spacing w:line="360" w:lineRule="auto"/>
              <w:ind w:firstLine="480" w:firstLineChars="200"/>
              <w:rPr>
                <w:color w:val="auto"/>
                <w:kern w:val="0"/>
                <w:sz w:val="24"/>
                <w:highlight w:val="none"/>
              </w:rPr>
            </w:pPr>
            <w:r>
              <w:rPr>
                <w:rFonts w:hint="eastAsia"/>
                <w:color w:val="auto"/>
                <w:kern w:val="0"/>
                <w:sz w:val="24"/>
                <w:highlight w:val="none"/>
                <w:lang w:val="en-US" w:eastAsia="zh-CN"/>
              </w:rPr>
              <w:t>f、</w:t>
            </w:r>
            <w:r>
              <w:rPr>
                <w:rFonts w:hint="eastAsia"/>
                <w:color w:val="auto"/>
                <w:kern w:val="0"/>
                <w:sz w:val="24"/>
                <w:highlight w:val="none"/>
              </w:rPr>
              <w:t>导向箭头：指示车辆的行驶方向，为白色箭头。距交叉口最近的一组导向箭头在距停止线前 3m 处设置，根据需要可适当增加设置位置。</w:t>
            </w:r>
          </w:p>
          <w:p>
            <w:pPr>
              <w:adjustRightInd w:val="0"/>
              <w:snapToGrid w:val="0"/>
              <w:spacing w:line="360" w:lineRule="auto"/>
              <w:ind w:firstLine="482" w:firstLineChars="200"/>
              <w:rPr>
                <w:b/>
                <w:color w:val="auto"/>
                <w:sz w:val="24"/>
                <w:highlight w:val="none"/>
              </w:rPr>
            </w:pPr>
            <w:r>
              <w:rPr>
                <w:rFonts w:hint="eastAsia"/>
                <w:b/>
                <w:color w:val="auto"/>
                <w:sz w:val="24"/>
                <w:highlight w:val="none"/>
                <w:lang w:eastAsia="zh-CN"/>
              </w:rPr>
              <w:t>（</w:t>
            </w:r>
            <w:r>
              <w:rPr>
                <w:rFonts w:hint="eastAsia"/>
                <w:b/>
                <w:color w:val="auto"/>
                <w:sz w:val="24"/>
                <w:highlight w:val="none"/>
              </w:rPr>
              <w:t>4</w:t>
            </w:r>
            <w:r>
              <w:rPr>
                <w:rFonts w:hint="eastAsia"/>
                <w:b/>
                <w:color w:val="auto"/>
                <w:sz w:val="24"/>
                <w:highlight w:val="none"/>
                <w:lang w:eastAsia="zh-CN"/>
              </w:rPr>
              <w:t>）</w:t>
            </w:r>
            <w:r>
              <w:rPr>
                <w:rFonts w:hint="eastAsia"/>
                <w:b/>
                <w:color w:val="auto"/>
                <w:sz w:val="24"/>
                <w:highlight w:val="none"/>
              </w:rPr>
              <w:t>交通监控</w:t>
            </w:r>
          </w:p>
          <w:p>
            <w:pPr>
              <w:widowControl/>
              <w:spacing w:line="360" w:lineRule="auto"/>
              <w:ind w:firstLine="480" w:firstLineChars="200"/>
              <w:rPr>
                <w:color w:val="auto"/>
                <w:kern w:val="0"/>
                <w:sz w:val="24"/>
                <w:highlight w:val="none"/>
              </w:rPr>
            </w:pPr>
            <w:r>
              <w:rPr>
                <w:rFonts w:hint="eastAsia" w:ascii="微软雅黑" w:hAnsi="微软雅黑" w:eastAsia="微软雅黑" w:cs="微软雅黑"/>
                <w:color w:val="auto"/>
                <w:kern w:val="0"/>
                <w:sz w:val="24"/>
                <w:highlight w:val="none"/>
              </w:rPr>
              <w:t>①</w:t>
            </w:r>
            <w:r>
              <w:rPr>
                <w:rFonts w:hint="eastAsia"/>
                <w:color w:val="auto"/>
                <w:kern w:val="0"/>
                <w:sz w:val="24"/>
                <w:highlight w:val="none"/>
              </w:rPr>
              <w:t>交通监控技术方案</w:t>
            </w:r>
          </w:p>
          <w:p>
            <w:pPr>
              <w:widowControl/>
              <w:spacing w:line="360" w:lineRule="auto"/>
              <w:ind w:firstLine="480" w:firstLineChars="200"/>
              <w:rPr>
                <w:color w:val="auto"/>
                <w:kern w:val="0"/>
                <w:sz w:val="24"/>
                <w:highlight w:val="none"/>
              </w:rPr>
            </w:pPr>
            <w:r>
              <w:rPr>
                <w:rFonts w:hint="eastAsia"/>
                <w:color w:val="auto"/>
                <w:kern w:val="0"/>
                <w:sz w:val="24"/>
                <w:highlight w:val="none"/>
              </w:rPr>
              <w:t>本设计方案的原则是对道路路口的交通状况实施全面监控，遵循“交通实时监控”理论，采用点、线、面的全程监控方式。</w:t>
            </w:r>
          </w:p>
          <w:p>
            <w:pPr>
              <w:widowControl/>
              <w:spacing w:line="360" w:lineRule="auto"/>
              <w:ind w:firstLine="480" w:firstLineChars="200"/>
              <w:rPr>
                <w:color w:val="auto"/>
                <w:kern w:val="0"/>
                <w:sz w:val="24"/>
                <w:highlight w:val="none"/>
              </w:rPr>
            </w:pPr>
            <w:r>
              <w:rPr>
                <w:rFonts w:hint="eastAsia"/>
                <w:color w:val="auto"/>
                <w:kern w:val="0"/>
                <w:sz w:val="24"/>
                <w:highlight w:val="none"/>
              </w:rPr>
              <w:t>本工程中包括以下几个子系统：</w:t>
            </w:r>
          </w:p>
          <w:p>
            <w:pPr>
              <w:widowControl/>
              <w:spacing w:line="360" w:lineRule="auto"/>
              <w:ind w:firstLine="480" w:firstLineChars="200"/>
              <w:rPr>
                <w:color w:val="auto"/>
                <w:kern w:val="0"/>
                <w:sz w:val="24"/>
                <w:highlight w:val="none"/>
              </w:rPr>
            </w:pPr>
            <w:r>
              <w:rPr>
                <w:rFonts w:hint="eastAsia"/>
                <w:color w:val="auto"/>
                <w:kern w:val="0"/>
                <w:sz w:val="24"/>
                <w:highlight w:val="none"/>
              </w:rPr>
              <w:t>a 、高清视频监控系统</w:t>
            </w:r>
          </w:p>
          <w:p>
            <w:pPr>
              <w:widowControl/>
              <w:spacing w:line="360" w:lineRule="auto"/>
              <w:ind w:firstLine="480" w:firstLineChars="200"/>
              <w:rPr>
                <w:color w:val="auto"/>
                <w:kern w:val="0"/>
                <w:sz w:val="24"/>
                <w:highlight w:val="none"/>
              </w:rPr>
            </w:pPr>
            <w:r>
              <w:rPr>
                <w:rFonts w:hint="eastAsia"/>
                <w:color w:val="auto"/>
                <w:kern w:val="0"/>
                <w:sz w:val="24"/>
                <w:highlight w:val="none"/>
              </w:rPr>
              <w:t>b、电子警察抓拍系统</w:t>
            </w:r>
          </w:p>
          <w:p>
            <w:pPr>
              <w:widowControl/>
              <w:spacing w:line="360" w:lineRule="auto"/>
              <w:ind w:firstLine="480" w:firstLineChars="200"/>
              <w:rPr>
                <w:color w:val="auto"/>
                <w:kern w:val="0"/>
                <w:sz w:val="24"/>
                <w:highlight w:val="none"/>
              </w:rPr>
            </w:pPr>
            <w:r>
              <w:rPr>
                <w:rFonts w:hint="eastAsia"/>
                <w:color w:val="auto"/>
                <w:kern w:val="0"/>
                <w:sz w:val="24"/>
                <w:highlight w:val="none"/>
              </w:rPr>
              <w:t>c、交通信号控制系统</w:t>
            </w:r>
          </w:p>
          <w:p>
            <w:pPr>
              <w:widowControl/>
              <w:spacing w:line="360" w:lineRule="auto"/>
              <w:ind w:firstLine="480" w:firstLineChars="200"/>
              <w:rPr>
                <w:color w:val="auto"/>
                <w:kern w:val="0"/>
                <w:sz w:val="24"/>
                <w:highlight w:val="none"/>
              </w:rPr>
            </w:pPr>
            <w:r>
              <w:rPr>
                <w:rFonts w:hint="eastAsia"/>
                <w:color w:val="auto"/>
                <w:kern w:val="0"/>
                <w:sz w:val="24"/>
                <w:highlight w:val="none"/>
              </w:rPr>
              <w:t>高清视频监控系统用来实时监视车辆和交通情况,主要执行部件为二~四台可调枪型摄像机。</w:t>
            </w:r>
          </w:p>
          <w:p>
            <w:pPr>
              <w:widowControl/>
              <w:spacing w:line="360" w:lineRule="auto"/>
              <w:ind w:firstLine="480" w:firstLineChars="200"/>
              <w:rPr>
                <w:color w:val="auto"/>
                <w:kern w:val="0"/>
                <w:sz w:val="24"/>
                <w:highlight w:val="none"/>
              </w:rPr>
            </w:pPr>
            <w:r>
              <w:rPr>
                <w:rFonts w:hint="eastAsia"/>
                <w:color w:val="auto"/>
                <w:kern w:val="0"/>
                <w:sz w:val="24"/>
                <w:highlight w:val="none"/>
              </w:rPr>
              <w:t>电子警察抓拍系统符合电子警察抓拍系统符合公安部有关要求，具备违章闯红灯、逆行、变道、禁行区域等抓拍功能,主要执行部件为各车道摄像机。</w:t>
            </w:r>
          </w:p>
          <w:p>
            <w:pPr>
              <w:widowControl/>
              <w:spacing w:line="360" w:lineRule="auto"/>
              <w:ind w:firstLine="480" w:firstLineChars="200"/>
              <w:rPr>
                <w:color w:val="auto"/>
                <w:kern w:val="0"/>
                <w:sz w:val="24"/>
                <w:highlight w:val="none"/>
              </w:rPr>
            </w:pPr>
            <w:r>
              <w:rPr>
                <w:rFonts w:hint="eastAsia"/>
                <w:color w:val="auto"/>
                <w:kern w:val="0"/>
                <w:sz w:val="24"/>
                <w:highlight w:val="none"/>
              </w:rPr>
              <w:t>交通信号控制系统通过控制路口信号灯来协调社会车辆按合理的通行方式通过路口，确保行车效率，主要执行部件为各路口统一的网络型信号机及每个方向的信号灯。</w:t>
            </w:r>
          </w:p>
          <w:p>
            <w:pPr>
              <w:widowControl/>
              <w:spacing w:line="360" w:lineRule="auto"/>
              <w:ind w:firstLine="480" w:firstLineChars="200"/>
              <w:rPr>
                <w:color w:val="auto"/>
                <w:kern w:val="0"/>
                <w:sz w:val="24"/>
                <w:highlight w:val="none"/>
              </w:rPr>
            </w:pPr>
            <w:r>
              <w:rPr>
                <w:rFonts w:hint="eastAsia"/>
                <w:color w:val="auto"/>
                <w:kern w:val="0"/>
                <w:sz w:val="24"/>
                <w:highlight w:val="none"/>
              </w:rPr>
              <w:t>每个路口的外场设备通过 1 套设备箱进行控制，交通设备箱将所采集到的全部信息通过以太网上传公安交通监控中心，由公安交通监控中心对全路段进行统一管理。</w:t>
            </w:r>
          </w:p>
          <w:p>
            <w:pPr>
              <w:adjustRightInd w:val="0"/>
              <w:snapToGrid w:val="0"/>
              <w:spacing w:line="360" w:lineRule="auto"/>
              <w:ind w:firstLine="482" w:firstLineChars="200"/>
              <w:rPr>
                <w:rFonts w:hint="eastAsia"/>
                <w:b/>
                <w:color w:val="auto"/>
                <w:sz w:val="24"/>
                <w:highlight w:val="none"/>
                <w:lang w:eastAsia="zh-CN"/>
              </w:rPr>
            </w:pPr>
            <w:r>
              <w:rPr>
                <w:rFonts w:hint="eastAsia"/>
                <w:b/>
                <w:color w:val="auto"/>
                <w:sz w:val="24"/>
                <w:highlight w:val="none"/>
                <w:lang w:eastAsia="zh-CN"/>
              </w:rPr>
              <w:t>（</w:t>
            </w:r>
            <w:r>
              <w:rPr>
                <w:rFonts w:hint="eastAsia"/>
                <w:b/>
                <w:color w:val="auto"/>
                <w:sz w:val="24"/>
                <w:highlight w:val="none"/>
                <w:lang w:val="en-US" w:eastAsia="zh-CN"/>
              </w:rPr>
              <w:t>5</w:t>
            </w:r>
            <w:r>
              <w:rPr>
                <w:rFonts w:hint="eastAsia"/>
                <w:b/>
                <w:color w:val="auto"/>
                <w:sz w:val="24"/>
                <w:highlight w:val="none"/>
                <w:lang w:eastAsia="zh-CN"/>
              </w:rPr>
              <w:t>）景观绿化工程</w:t>
            </w:r>
          </w:p>
          <w:p>
            <w:pPr>
              <w:widowControl/>
              <w:spacing w:line="360" w:lineRule="auto"/>
              <w:ind w:firstLine="480" w:firstLineChars="200"/>
              <w:rPr>
                <w:color w:val="auto"/>
                <w:kern w:val="0"/>
                <w:sz w:val="24"/>
                <w:highlight w:val="none"/>
              </w:rPr>
            </w:pPr>
            <w:r>
              <w:rPr>
                <w:rFonts w:hint="eastAsia"/>
                <w:color w:val="auto"/>
                <w:kern w:val="0"/>
                <w:sz w:val="24"/>
                <w:highlight w:val="none"/>
              </w:rPr>
              <w:t>道路景观作为城市整体景观环境的一个有机组成部分，将道路景观和城市景观紧密结合。根据周边环境以及人们的使用需要，设置与整体风格相协调的人行道铺装、休憩空间和公共服务设施。在绿化设计中因地制宜，选择适当树种，形成一个具有特色的生态东西交通连廊。</w:t>
            </w:r>
          </w:p>
          <w:p>
            <w:pPr>
              <w:tabs>
                <w:tab w:val="center" w:pos="3972"/>
              </w:tabs>
              <w:wordWrap w:val="0"/>
              <w:spacing w:line="360" w:lineRule="auto"/>
              <w:outlineLvl w:val="1"/>
              <w:rPr>
                <w:b/>
                <w:bCs/>
                <w:color w:val="auto"/>
                <w:sz w:val="24"/>
                <w:highlight w:val="none"/>
              </w:rPr>
            </w:pPr>
            <w:r>
              <w:rPr>
                <w:b/>
                <w:bCs/>
                <w:color w:val="auto"/>
                <w:sz w:val="24"/>
                <w:highlight w:val="none"/>
              </w:rPr>
              <w:t>三、交通量预测：</w:t>
            </w:r>
          </w:p>
          <w:p>
            <w:pPr>
              <w:widowControl/>
              <w:spacing w:line="360" w:lineRule="auto"/>
              <w:ind w:firstLine="480" w:firstLineChars="200"/>
              <w:rPr>
                <w:color w:val="auto"/>
                <w:kern w:val="0"/>
                <w:sz w:val="24"/>
                <w:highlight w:val="none"/>
              </w:rPr>
            </w:pPr>
            <w:r>
              <w:rPr>
                <w:rFonts w:hint="eastAsia"/>
                <w:color w:val="auto"/>
                <w:kern w:val="0"/>
                <w:sz w:val="24"/>
                <w:highlight w:val="none"/>
              </w:rPr>
              <w:t>根据建设单位提供的项目建议书以及设计方提供资料：</w:t>
            </w:r>
          </w:p>
          <w:p>
            <w:pPr>
              <w:widowControl/>
              <w:spacing w:line="360" w:lineRule="auto"/>
              <w:ind w:firstLine="480" w:firstLineChars="200"/>
              <w:rPr>
                <w:color w:val="auto"/>
                <w:kern w:val="0"/>
                <w:sz w:val="24"/>
                <w:highlight w:val="none"/>
              </w:rPr>
            </w:pPr>
            <w:r>
              <w:rPr>
                <w:rFonts w:hint="eastAsia"/>
                <w:color w:val="auto"/>
                <w:kern w:val="0"/>
                <w:sz w:val="24"/>
                <w:highlight w:val="none"/>
              </w:rPr>
              <w:t>根据规范的规定，本项目为二级公路（兼城市次干路），采用15年的预测年限。项目计划2024年</w:t>
            </w:r>
            <w:r>
              <w:rPr>
                <w:rFonts w:hint="eastAsia"/>
                <w:color w:val="auto"/>
                <w:kern w:val="0"/>
                <w:sz w:val="24"/>
                <w:highlight w:val="none"/>
                <w:lang w:val="en-US" w:eastAsia="zh-CN"/>
              </w:rPr>
              <w:t>9</w:t>
            </w:r>
            <w:r>
              <w:rPr>
                <w:rFonts w:hint="eastAsia"/>
                <w:color w:val="auto"/>
                <w:kern w:val="0"/>
                <w:sz w:val="24"/>
                <w:highlight w:val="none"/>
              </w:rPr>
              <w:t>月开工建设，2026 年</w:t>
            </w:r>
            <w:r>
              <w:rPr>
                <w:rFonts w:hint="eastAsia"/>
                <w:color w:val="auto"/>
                <w:kern w:val="0"/>
                <w:sz w:val="24"/>
                <w:highlight w:val="none"/>
                <w:lang w:val="en-US" w:eastAsia="zh-CN"/>
              </w:rPr>
              <w:t>6</w:t>
            </w:r>
            <w:r>
              <w:rPr>
                <w:rFonts w:hint="eastAsia"/>
                <w:color w:val="auto"/>
                <w:kern w:val="0"/>
                <w:sz w:val="24"/>
                <w:highlight w:val="none"/>
              </w:rPr>
              <w:t>月建成通车，建成需要</w:t>
            </w:r>
            <w:r>
              <w:rPr>
                <w:rFonts w:hint="eastAsia"/>
                <w:color w:val="auto"/>
                <w:kern w:val="0"/>
                <w:sz w:val="24"/>
                <w:highlight w:val="none"/>
                <w:lang w:val="en-US" w:eastAsia="zh-CN"/>
              </w:rPr>
              <w:t>21</w:t>
            </w:r>
            <w:r>
              <w:rPr>
                <w:rFonts w:hint="eastAsia"/>
                <w:color w:val="auto"/>
                <w:kern w:val="0"/>
                <w:sz w:val="24"/>
                <w:highlight w:val="none"/>
              </w:rPr>
              <w:t>个月时间，交通预测远期年为2040年。</w:t>
            </w:r>
          </w:p>
          <w:p>
            <w:pPr>
              <w:widowControl/>
              <w:spacing w:line="360" w:lineRule="auto"/>
              <w:ind w:firstLine="480" w:firstLineChars="200"/>
              <w:rPr>
                <w:color w:val="auto"/>
                <w:kern w:val="0"/>
                <w:sz w:val="24"/>
                <w:highlight w:val="none"/>
              </w:rPr>
            </w:pPr>
            <w:r>
              <w:rPr>
                <w:rFonts w:hint="eastAsia"/>
                <w:color w:val="auto"/>
                <w:kern w:val="0"/>
                <w:sz w:val="24"/>
                <w:highlight w:val="none"/>
              </w:rPr>
              <w:t>以《苏州工业园区总体规划（2012-2030）》为基础，利用“四阶段”法预测得到远期（2040年）扬东路西延工程主线高峰小时交通量1185pcu/h。交通出行结构道路上以中、小型车辆为主，小、中、大型车型比例为7:2:1，小、中、大型车型换算比例为1:1.5:2。</w:t>
            </w:r>
            <w:r>
              <w:rPr>
                <w:color w:val="auto"/>
                <w:kern w:val="0"/>
                <w:sz w:val="24"/>
                <w:highlight w:val="none"/>
              </w:rPr>
              <w:t>高峰小时交通量约占全天交通量的</w:t>
            </w:r>
            <w:r>
              <w:rPr>
                <w:rFonts w:hint="eastAsia"/>
                <w:color w:val="auto"/>
                <w:kern w:val="0"/>
                <w:sz w:val="24"/>
                <w:highlight w:val="none"/>
              </w:rPr>
              <w:t>11</w:t>
            </w:r>
            <w:r>
              <w:rPr>
                <w:color w:val="auto"/>
                <w:kern w:val="0"/>
                <w:sz w:val="24"/>
                <w:highlight w:val="none"/>
              </w:rPr>
              <w:t>%，昼间交通量(6:00~22:00)按日平均交通量</w:t>
            </w:r>
            <w:r>
              <w:rPr>
                <w:rFonts w:hint="eastAsia"/>
                <w:color w:val="auto"/>
                <w:kern w:val="0"/>
                <w:sz w:val="24"/>
                <w:highlight w:val="none"/>
              </w:rPr>
              <w:t>8</w:t>
            </w:r>
            <w:r>
              <w:rPr>
                <w:color w:val="auto"/>
                <w:kern w:val="0"/>
                <w:sz w:val="24"/>
                <w:highlight w:val="none"/>
              </w:rPr>
              <w:t>0%计，夜间交通量（22:00~06:00）按日平均交通量</w:t>
            </w:r>
            <w:r>
              <w:rPr>
                <w:rFonts w:hint="eastAsia"/>
                <w:color w:val="auto"/>
                <w:kern w:val="0"/>
                <w:sz w:val="24"/>
                <w:highlight w:val="none"/>
              </w:rPr>
              <w:t>2</w:t>
            </w:r>
            <w:r>
              <w:rPr>
                <w:color w:val="auto"/>
                <w:kern w:val="0"/>
                <w:sz w:val="24"/>
                <w:highlight w:val="none"/>
              </w:rPr>
              <w:t>0%计。</w:t>
            </w:r>
          </w:p>
          <w:p>
            <w:pPr>
              <w:widowControl/>
              <w:spacing w:line="360" w:lineRule="auto"/>
              <w:ind w:firstLine="480" w:firstLineChars="200"/>
              <w:jc w:val="left"/>
              <w:rPr>
                <w:color w:val="auto"/>
                <w:kern w:val="0"/>
                <w:sz w:val="24"/>
                <w:highlight w:val="none"/>
              </w:rPr>
            </w:pPr>
            <w:r>
              <w:rPr>
                <w:color w:val="auto"/>
                <w:kern w:val="0"/>
                <w:sz w:val="24"/>
                <w:highlight w:val="none"/>
              </w:rPr>
              <w:t>本工程交通预测近期</w:t>
            </w:r>
            <w:r>
              <w:rPr>
                <w:rFonts w:hint="eastAsia"/>
                <w:color w:val="auto"/>
                <w:kern w:val="0"/>
                <w:sz w:val="24"/>
                <w:highlight w:val="none"/>
              </w:rPr>
              <w:t>选择</w:t>
            </w:r>
            <w:r>
              <w:rPr>
                <w:color w:val="auto"/>
                <w:kern w:val="0"/>
                <w:sz w:val="24"/>
                <w:highlight w:val="none"/>
              </w:rPr>
              <w:t>20</w:t>
            </w:r>
            <w:r>
              <w:rPr>
                <w:rFonts w:hint="eastAsia"/>
                <w:color w:val="auto"/>
                <w:kern w:val="0"/>
                <w:sz w:val="24"/>
                <w:highlight w:val="none"/>
              </w:rPr>
              <w:t>30</w:t>
            </w:r>
            <w:r>
              <w:rPr>
                <w:color w:val="auto"/>
                <w:kern w:val="0"/>
                <w:sz w:val="24"/>
                <w:highlight w:val="none"/>
              </w:rPr>
              <w:t>年，中期为20</w:t>
            </w:r>
            <w:r>
              <w:rPr>
                <w:rFonts w:hint="eastAsia"/>
                <w:color w:val="auto"/>
                <w:kern w:val="0"/>
                <w:sz w:val="24"/>
                <w:highlight w:val="none"/>
              </w:rPr>
              <w:t>35</w:t>
            </w:r>
            <w:r>
              <w:rPr>
                <w:color w:val="auto"/>
                <w:kern w:val="0"/>
                <w:sz w:val="24"/>
                <w:highlight w:val="none"/>
              </w:rPr>
              <w:t>年，远期为2</w:t>
            </w:r>
            <w:r>
              <w:rPr>
                <w:rFonts w:hint="eastAsia"/>
                <w:color w:val="auto"/>
                <w:kern w:val="0"/>
                <w:sz w:val="24"/>
                <w:highlight w:val="none"/>
              </w:rPr>
              <w:t>040年</w:t>
            </w:r>
            <w:r>
              <w:rPr>
                <w:color w:val="auto"/>
                <w:kern w:val="0"/>
                <w:sz w:val="24"/>
                <w:highlight w:val="none"/>
              </w:rPr>
              <w:t>，特征年交通预测如下表。</w:t>
            </w:r>
          </w:p>
          <w:p>
            <w:pPr>
              <w:wordWrap w:val="0"/>
              <w:spacing w:line="400" w:lineRule="atLeast"/>
              <w:jc w:val="center"/>
              <w:outlineLvl w:val="1"/>
              <w:rPr>
                <w:b/>
                <w:bCs/>
                <w:color w:val="auto"/>
                <w:szCs w:val="21"/>
                <w:highlight w:val="none"/>
              </w:rPr>
            </w:pPr>
            <w:r>
              <w:rPr>
                <w:b/>
                <w:bCs/>
                <w:color w:val="auto"/>
                <w:szCs w:val="21"/>
                <w:highlight w:val="none"/>
              </w:rPr>
              <w:t>表</w:t>
            </w:r>
            <w:r>
              <w:rPr>
                <w:rFonts w:hint="eastAsia"/>
                <w:b/>
                <w:bCs/>
                <w:color w:val="auto"/>
                <w:szCs w:val="21"/>
                <w:highlight w:val="none"/>
              </w:rPr>
              <w:t>2-4</w:t>
            </w:r>
            <w:r>
              <w:rPr>
                <w:b/>
                <w:bCs/>
                <w:color w:val="auto"/>
                <w:szCs w:val="21"/>
                <w:highlight w:val="none"/>
              </w:rPr>
              <w:t>本项目特征年高峰时段预测交通量</w:t>
            </w:r>
            <w:r>
              <w:rPr>
                <w:rFonts w:hint="eastAsia"/>
                <w:b/>
                <w:bCs/>
                <w:color w:val="auto"/>
                <w:szCs w:val="21"/>
                <w:highlight w:val="none"/>
              </w:rPr>
              <w:t>（单向）</w:t>
            </w:r>
          </w:p>
          <w:tbl>
            <w:tblPr>
              <w:tblStyle w:val="18"/>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2122"/>
              <w:gridCol w:w="2122"/>
              <w:gridCol w:w="212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17" w:type="pct"/>
                  <w:vAlign w:val="center"/>
                </w:tcPr>
                <w:p>
                  <w:pPr>
                    <w:wordWrap w:val="0"/>
                    <w:jc w:val="center"/>
                    <w:outlineLvl w:val="1"/>
                    <w:rPr>
                      <w:b/>
                      <w:bCs/>
                      <w:color w:val="auto"/>
                      <w:szCs w:val="21"/>
                      <w:highlight w:val="none"/>
                    </w:rPr>
                  </w:pPr>
                  <w:r>
                    <w:rPr>
                      <w:b/>
                      <w:bCs/>
                      <w:color w:val="auto"/>
                      <w:szCs w:val="21"/>
                      <w:highlight w:val="none"/>
                    </w:rPr>
                    <w:t>路段名称</w:t>
                  </w:r>
                </w:p>
              </w:tc>
              <w:tc>
                <w:tcPr>
                  <w:tcW w:w="1260" w:type="pct"/>
                  <w:vAlign w:val="center"/>
                </w:tcPr>
                <w:p>
                  <w:pPr>
                    <w:wordWrap w:val="0"/>
                    <w:jc w:val="center"/>
                    <w:outlineLvl w:val="1"/>
                    <w:rPr>
                      <w:b/>
                      <w:bCs/>
                      <w:color w:val="auto"/>
                      <w:szCs w:val="21"/>
                      <w:highlight w:val="none"/>
                    </w:rPr>
                  </w:pPr>
                  <w:r>
                    <w:rPr>
                      <w:rFonts w:hint="eastAsia"/>
                      <w:b/>
                      <w:bCs/>
                      <w:color w:val="auto"/>
                      <w:szCs w:val="21"/>
                      <w:highlight w:val="none"/>
                    </w:rPr>
                    <w:t>近期</w:t>
                  </w:r>
                  <w:r>
                    <w:rPr>
                      <w:b/>
                      <w:bCs/>
                      <w:color w:val="auto"/>
                      <w:szCs w:val="21"/>
                      <w:highlight w:val="none"/>
                    </w:rPr>
                    <w:t>交通量</w:t>
                  </w:r>
                </w:p>
                <w:p>
                  <w:pPr>
                    <w:wordWrap w:val="0"/>
                    <w:jc w:val="center"/>
                    <w:outlineLvl w:val="1"/>
                    <w:rPr>
                      <w:b/>
                      <w:bCs/>
                      <w:color w:val="auto"/>
                      <w:szCs w:val="21"/>
                      <w:highlight w:val="none"/>
                    </w:rPr>
                  </w:pPr>
                  <w:r>
                    <w:rPr>
                      <w:b/>
                      <w:bCs/>
                      <w:color w:val="auto"/>
                      <w:szCs w:val="21"/>
                      <w:highlight w:val="none"/>
                    </w:rPr>
                    <w:t>（pcu/h）</w:t>
                  </w:r>
                </w:p>
              </w:tc>
              <w:tc>
                <w:tcPr>
                  <w:tcW w:w="1260" w:type="pct"/>
                  <w:vAlign w:val="center"/>
                </w:tcPr>
                <w:p>
                  <w:pPr>
                    <w:wordWrap w:val="0"/>
                    <w:jc w:val="center"/>
                    <w:outlineLvl w:val="1"/>
                    <w:rPr>
                      <w:b/>
                      <w:bCs/>
                      <w:color w:val="auto"/>
                      <w:szCs w:val="21"/>
                      <w:highlight w:val="none"/>
                    </w:rPr>
                  </w:pPr>
                  <w:r>
                    <w:rPr>
                      <w:rFonts w:hint="eastAsia"/>
                      <w:b/>
                      <w:bCs/>
                      <w:color w:val="auto"/>
                      <w:szCs w:val="21"/>
                      <w:highlight w:val="none"/>
                    </w:rPr>
                    <w:t>中期</w:t>
                  </w:r>
                  <w:r>
                    <w:rPr>
                      <w:b/>
                      <w:bCs/>
                      <w:color w:val="auto"/>
                      <w:szCs w:val="21"/>
                      <w:highlight w:val="none"/>
                    </w:rPr>
                    <w:t>交通量</w:t>
                  </w:r>
                </w:p>
                <w:p>
                  <w:pPr>
                    <w:wordWrap w:val="0"/>
                    <w:jc w:val="center"/>
                    <w:outlineLvl w:val="1"/>
                    <w:rPr>
                      <w:b/>
                      <w:bCs/>
                      <w:color w:val="auto"/>
                      <w:szCs w:val="21"/>
                      <w:highlight w:val="none"/>
                    </w:rPr>
                  </w:pPr>
                  <w:r>
                    <w:rPr>
                      <w:b/>
                      <w:bCs/>
                      <w:color w:val="auto"/>
                      <w:szCs w:val="21"/>
                      <w:highlight w:val="none"/>
                    </w:rPr>
                    <w:t>（pcu/h）</w:t>
                  </w:r>
                </w:p>
              </w:tc>
              <w:tc>
                <w:tcPr>
                  <w:tcW w:w="1261" w:type="pct"/>
                  <w:vAlign w:val="center"/>
                </w:tcPr>
                <w:p>
                  <w:pPr>
                    <w:wordWrap w:val="0"/>
                    <w:jc w:val="center"/>
                    <w:outlineLvl w:val="1"/>
                    <w:rPr>
                      <w:b/>
                      <w:bCs/>
                      <w:color w:val="auto"/>
                      <w:szCs w:val="21"/>
                      <w:highlight w:val="none"/>
                    </w:rPr>
                  </w:pPr>
                  <w:r>
                    <w:rPr>
                      <w:rFonts w:hint="eastAsia"/>
                      <w:b/>
                      <w:bCs/>
                      <w:color w:val="auto"/>
                      <w:szCs w:val="21"/>
                      <w:highlight w:val="none"/>
                    </w:rPr>
                    <w:t>远期</w:t>
                  </w:r>
                  <w:r>
                    <w:rPr>
                      <w:b/>
                      <w:bCs/>
                      <w:color w:val="auto"/>
                      <w:szCs w:val="21"/>
                      <w:highlight w:val="none"/>
                    </w:rPr>
                    <w:t>交通量</w:t>
                  </w:r>
                </w:p>
                <w:p>
                  <w:pPr>
                    <w:wordWrap w:val="0"/>
                    <w:jc w:val="center"/>
                    <w:outlineLvl w:val="1"/>
                    <w:rPr>
                      <w:b/>
                      <w:bCs/>
                      <w:color w:val="auto"/>
                      <w:szCs w:val="21"/>
                      <w:highlight w:val="none"/>
                    </w:rPr>
                  </w:pPr>
                  <w:r>
                    <w:rPr>
                      <w:b/>
                      <w:bCs/>
                      <w:color w:val="auto"/>
                      <w:szCs w:val="21"/>
                      <w:highlight w:val="none"/>
                    </w:rPr>
                    <w:t>（pcu/h）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17" w:type="pct"/>
                  <w:vAlign w:val="center"/>
                </w:tcPr>
                <w:p>
                  <w:pPr>
                    <w:widowControl/>
                    <w:wordWrap w:val="0"/>
                    <w:jc w:val="center"/>
                    <w:rPr>
                      <w:color w:val="auto"/>
                      <w:szCs w:val="21"/>
                      <w:highlight w:val="none"/>
                    </w:rPr>
                  </w:pPr>
                  <w:r>
                    <w:rPr>
                      <w:rFonts w:hint="eastAsia"/>
                      <w:color w:val="auto"/>
                      <w:szCs w:val="21"/>
                      <w:highlight w:val="none"/>
                    </w:rPr>
                    <w:t>扬东路西延</w:t>
                  </w:r>
                </w:p>
              </w:tc>
              <w:tc>
                <w:tcPr>
                  <w:tcW w:w="2114" w:type="dxa"/>
                  <w:vAlign w:val="center"/>
                </w:tcPr>
                <w:p>
                  <w:pPr>
                    <w:widowControl/>
                    <w:jc w:val="center"/>
                    <w:textAlignment w:val="center"/>
                    <w:rPr>
                      <w:color w:val="auto"/>
                      <w:szCs w:val="21"/>
                      <w:highlight w:val="none"/>
                    </w:rPr>
                  </w:pPr>
                  <w:r>
                    <w:rPr>
                      <w:color w:val="auto"/>
                      <w:kern w:val="0"/>
                      <w:szCs w:val="21"/>
                      <w:highlight w:val="none"/>
                    </w:rPr>
                    <w:t xml:space="preserve">760 </w:t>
                  </w:r>
                </w:p>
              </w:tc>
              <w:tc>
                <w:tcPr>
                  <w:tcW w:w="2114" w:type="dxa"/>
                  <w:vAlign w:val="center"/>
                </w:tcPr>
                <w:p>
                  <w:pPr>
                    <w:widowControl/>
                    <w:jc w:val="center"/>
                    <w:textAlignment w:val="center"/>
                    <w:rPr>
                      <w:color w:val="auto"/>
                      <w:szCs w:val="21"/>
                      <w:highlight w:val="none"/>
                    </w:rPr>
                  </w:pPr>
                  <w:r>
                    <w:rPr>
                      <w:color w:val="auto"/>
                      <w:kern w:val="0"/>
                      <w:szCs w:val="21"/>
                      <w:highlight w:val="none"/>
                    </w:rPr>
                    <w:t xml:space="preserve">912 </w:t>
                  </w:r>
                </w:p>
              </w:tc>
              <w:tc>
                <w:tcPr>
                  <w:tcW w:w="2124" w:type="dxa"/>
                  <w:vAlign w:val="center"/>
                </w:tcPr>
                <w:p>
                  <w:pPr>
                    <w:widowControl/>
                    <w:jc w:val="center"/>
                    <w:textAlignment w:val="center"/>
                    <w:rPr>
                      <w:color w:val="auto"/>
                      <w:szCs w:val="21"/>
                      <w:highlight w:val="none"/>
                    </w:rPr>
                  </w:pPr>
                  <w:r>
                    <w:rPr>
                      <w:color w:val="auto"/>
                      <w:kern w:val="0"/>
                      <w:szCs w:val="21"/>
                      <w:highlight w:val="none"/>
                    </w:rPr>
                    <w:t xml:space="preserve">1185 </w:t>
                  </w:r>
                </w:p>
              </w:tc>
            </w:tr>
          </w:tbl>
          <w:p>
            <w:pPr>
              <w:spacing w:line="400" w:lineRule="atLeast"/>
              <w:jc w:val="center"/>
              <w:rPr>
                <w:b/>
                <w:bCs/>
                <w:color w:val="auto"/>
                <w:szCs w:val="21"/>
                <w:highlight w:val="none"/>
              </w:rPr>
            </w:pPr>
            <w:r>
              <w:rPr>
                <w:b/>
                <w:bCs/>
                <w:color w:val="auto"/>
                <w:szCs w:val="21"/>
                <w:highlight w:val="none"/>
              </w:rPr>
              <w:t>表</w:t>
            </w:r>
            <w:r>
              <w:rPr>
                <w:rFonts w:hint="eastAsia"/>
                <w:b/>
                <w:bCs/>
                <w:color w:val="auto"/>
                <w:szCs w:val="21"/>
                <w:highlight w:val="none"/>
              </w:rPr>
              <w:t>2-5</w:t>
            </w:r>
            <w:r>
              <w:rPr>
                <w:b/>
                <w:bCs/>
                <w:color w:val="auto"/>
                <w:szCs w:val="21"/>
                <w:highlight w:val="none"/>
              </w:rPr>
              <w:t>车型分类标准</w:t>
            </w:r>
          </w:p>
          <w:tbl>
            <w:tblPr>
              <w:tblStyle w:val="18"/>
              <w:tblW w:w="835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3"/>
              <w:gridCol w:w="41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4183" w:type="dxa"/>
                  <w:vAlign w:val="center"/>
                </w:tcPr>
                <w:p>
                  <w:pPr>
                    <w:spacing w:line="320" w:lineRule="exact"/>
                    <w:ind w:firstLine="422" w:firstLineChars="200"/>
                    <w:jc w:val="center"/>
                    <w:rPr>
                      <w:b/>
                      <w:bCs/>
                      <w:color w:val="auto"/>
                      <w:szCs w:val="21"/>
                      <w:highlight w:val="none"/>
                    </w:rPr>
                  </w:pPr>
                  <w:r>
                    <w:rPr>
                      <w:b/>
                      <w:bCs/>
                      <w:color w:val="auto"/>
                      <w:szCs w:val="21"/>
                      <w:highlight w:val="none"/>
                    </w:rPr>
                    <w:t>车 型</w:t>
                  </w:r>
                </w:p>
              </w:tc>
              <w:tc>
                <w:tcPr>
                  <w:tcW w:w="4176" w:type="dxa"/>
                  <w:vAlign w:val="center"/>
                </w:tcPr>
                <w:p>
                  <w:pPr>
                    <w:spacing w:line="320" w:lineRule="exact"/>
                    <w:ind w:firstLine="422" w:firstLineChars="200"/>
                    <w:jc w:val="center"/>
                    <w:rPr>
                      <w:b/>
                      <w:bCs/>
                      <w:color w:val="auto"/>
                      <w:szCs w:val="21"/>
                      <w:highlight w:val="none"/>
                    </w:rPr>
                  </w:pPr>
                  <w:r>
                    <w:rPr>
                      <w:b/>
                      <w:bCs/>
                      <w:color w:val="auto"/>
                      <w:szCs w:val="21"/>
                      <w:highlight w:val="none"/>
                    </w:rPr>
                    <w:t>汽车总质量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83" w:type="dxa"/>
                  <w:vAlign w:val="center"/>
                </w:tcPr>
                <w:p>
                  <w:pPr>
                    <w:spacing w:line="320" w:lineRule="exact"/>
                    <w:ind w:firstLine="420" w:firstLineChars="200"/>
                    <w:jc w:val="center"/>
                    <w:rPr>
                      <w:color w:val="auto"/>
                      <w:szCs w:val="21"/>
                      <w:highlight w:val="none"/>
                    </w:rPr>
                  </w:pPr>
                  <w:r>
                    <w:rPr>
                      <w:color w:val="auto"/>
                      <w:szCs w:val="21"/>
                      <w:highlight w:val="none"/>
                    </w:rPr>
                    <w:t>小型车（S）</w:t>
                  </w:r>
                </w:p>
              </w:tc>
              <w:tc>
                <w:tcPr>
                  <w:tcW w:w="4176" w:type="dxa"/>
                  <w:vAlign w:val="center"/>
                </w:tcPr>
                <w:p>
                  <w:pPr>
                    <w:spacing w:line="320" w:lineRule="exact"/>
                    <w:ind w:firstLine="420" w:firstLineChars="200"/>
                    <w:jc w:val="center"/>
                    <w:rPr>
                      <w:color w:val="auto"/>
                      <w:szCs w:val="21"/>
                      <w:highlight w:val="none"/>
                    </w:rPr>
                  </w:pPr>
                  <w:r>
                    <w:rPr>
                      <w:color w:val="auto"/>
                      <w:szCs w:val="21"/>
                      <w:highlight w:val="none"/>
                    </w:rPr>
                    <w:t>3.5t以下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83" w:type="dxa"/>
                  <w:vAlign w:val="center"/>
                </w:tcPr>
                <w:p>
                  <w:pPr>
                    <w:spacing w:line="320" w:lineRule="exact"/>
                    <w:ind w:firstLine="420" w:firstLineChars="200"/>
                    <w:jc w:val="center"/>
                    <w:rPr>
                      <w:color w:val="auto"/>
                      <w:szCs w:val="21"/>
                      <w:highlight w:val="none"/>
                    </w:rPr>
                  </w:pPr>
                  <w:r>
                    <w:rPr>
                      <w:color w:val="auto"/>
                      <w:szCs w:val="21"/>
                      <w:highlight w:val="none"/>
                    </w:rPr>
                    <w:t>中型车（M）</w:t>
                  </w:r>
                </w:p>
              </w:tc>
              <w:tc>
                <w:tcPr>
                  <w:tcW w:w="4176" w:type="dxa"/>
                  <w:vAlign w:val="center"/>
                </w:tcPr>
                <w:p>
                  <w:pPr>
                    <w:spacing w:line="320" w:lineRule="exact"/>
                    <w:ind w:firstLine="420" w:firstLineChars="200"/>
                    <w:jc w:val="center"/>
                    <w:rPr>
                      <w:color w:val="auto"/>
                      <w:szCs w:val="21"/>
                      <w:highlight w:val="none"/>
                    </w:rPr>
                  </w:pPr>
                  <w:r>
                    <w:rPr>
                      <w:color w:val="auto"/>
                      <w:szCs w:val="21"/>
                      <w:highlight w:val="none"/>
                    </w:rPr>
                    <w:t>3.5t～12t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4183" w:type="dxa"/>
                  <w:vAlign w:val="center"/>
                </w:tcPr>
                <w:p>
                  <w:pPr>
                    <w:spacing w:line="320" w:lineRule="exact"/>
                    <w:ind w:firstLine="420" w:firstLineChars="200"/>
                    <w:jc w:val="center"/>
                    <w:rPr>
                      <w:color w:val="auto"/>
                      <w:szCs w:val="21"/>
                      <w:highlight w:val="none"/>
                    </w:rPr>
                  </w:pPr>
                  <w:r>
                    <w:rPr>
                      <w:color w:val="auto"/>
                      <w:szCs w:val="21"/>
                      <w:highlight w:val="none"/>
                    </w:rPr>
                    <w:t>大型车（L）</w:t>
                  </w:r>
                </w:p>
              </w:tc>
              <w:tc>
                <w:tcPr>
                  <w:tcW w:w="4176" w:type="dxa"/>
                  <w:vAlign w:val="center"/>
                </w:tcPr>
                <w:p>
                  <w:pPr>
                    <w:spacing w:line="320" w:lineRule="exact"/>
                    <w:ind w:firstLine="420" w:firstLineChars="200"/>
                    <w:jc w:val="center"/>
                    <w:rPr>
                      <w:color w:val="auto"/>
                      <w:szCs w:val="21"/>
                      <w:highlight w:val="none"/>
                    </w:rPr>
                  </w:pPr>
                  <w:r>
                    <w:rPr>
                      <w:color w:val="auto"/>
                      <w:szCs w:val="21"/>
                      <w:highlight w:val="none"/>
                    </w:rPr>
                    <w:t>12t以上</w:t>
                  </w:r>
                </w:p>
              </w:tc>
            </w:tr>
          </w:tbl>
          <w:p>
            <w:pPr>
              <w:wordWrap w:val="0"/>
              <w:spacing w:line="400" w:lineRule="atLeast"/>
              <w:ind w:firstLine="422" w:firstLineChars="200"/>
              <w:jc w:val="center"/>
              <w:outlineLvl w:val="1"/>
              <w:rPr>
                <w:b/>
                <w:bCs/>
                <w:color w:val="auto"/>
                <w:szCs w:val="21"/>
                <w:highlight w:val="none"/>
              </w:rPr>
            </w:pPr>
            <w:r>
              <w:rPr>
                <w:b/>
                <w:bCs/>
                <w:color w:val="auto"/>
                <w:highlight w:val="none"/>
              </w:rPr>
              <w:t>表</w:t>
            </w:r>
            <w:r>
              <w:rPr>
                <w:rFonts w:hint="eastAsia"/>
                <w:b/>
                <w:bCs/>
                <w:color w:val="auto"/>
                <w:highlight w:val="none"/>
              </w:rPr>
              <w:t>2-6</w:t>
            </w:r>
            <w:r>
              <w:rPr>
                <w:b/>
                <w:bCs/>
                <w:color w:val="auto"/>
                <w:szCs w:val="21"/>
                <w:highlight w:val="none"/>
              </w:rPr>
              <w:t>特征年交通量预测结果表pcu/h</w:t>
            </w:r>
          </w:p>
          <w:tbl>
            <w:tblPr>
              <w:tblStyle w:val="18"/>
              <w:tblW w:w="8314"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974"/>
              <w:gridCol w:w="910"/>
              <w:gridCol w:w="872"/>
              <w:gridCol w:w="962"/>
              <w:gridCol w:w="1000"/>
              <w:gridCol w:w="1038"/>
              <w:gridCol w:w="11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5" w:type="dxa"/>
                  <w:vMerge w:val="restart"/>
                  <w:vAlign w:val="center"/>
                </w:tcPr>
                <w:p>
                  <w:pPr>
                    <w:jc w:val="center"/>
                    <w:rPr>
                      <w:color w:val="auto"/>
                      <w:highlight w:val="none"/>
                    </w:rPr>
                  </w:pPr>
                  <w:r>
                    <w:rPr>
                      <w:b/>
                      <w:bCs/>
                      <w:color w:val="auto"/>
                      <w:szCs w:val="21"/>
                      <w:highlight w:val="none"/>
                    </w:rPr>
                    <w:t>路段</w:t>
                  </w:r>
                </w:p>
              </w:tc>
              <w:tc>
                <w:tcPr>
                  <w:tcW w:w="974" w:type="dxa"/>
                  <w:vMerge w:val="restart"/>
                  <w:vAlign w:val="center"/>
                </w:tcPr>
                <w:p>
                  <w:pPr>
                    <w:jc w:val="center"/>
                    <w:rPr>
                      <w:color w:val="auto"/>
                      <w:highlight w:val="none"/>
                    </w:rPr>
                  </w:pPr>
                  <w:r>
                    <w:rPr>
                      <w:b/>
                      <w:bCs/>
                      <w:color w:val="auto"/>
                      <w:szCs w:val="21"/>
                      <w:highlight w:val="none"/>
                    </w:rPr>
                    <w:t>车型</w:t>
                  </w:r>
                </w:p>
              </w:tc>
              <w:tc>
                <w:tcPr>
                  <w:tcW w:w="1782" w:type="dxa"/>
                  <w:gridSpan w:val="2"/>
                  <w:vAlign w:val="center"/>
                </w:tcPr>
                <w:p>
                  <w:pPr>
                    <w:widowControl/>
                    <w:wordWrap w:val="0"/>
                    <w:jc w:val="center"/>
                    <w:rPr>
                      <w:b/>
                      <w:bCs/>
                      <w:color w:val="auto"/>
                      <w:szCs w:val="21"/>
                      <w:highlight w:val="none"/>
                    </w:rPr>
                  </w:pPr>
                  <w:r>
                    <w:rPr>
                      <w:b/>
                      <w:bCs/>
                      <w:color w:val="auto"/>
                      <w:szCs w:val="21"/>
                      <w:highlight w:val="none"/>
                    </w:rPr>
                    <w:t>近期</w:t>
                  </w:r>
                </w:p>
              </w:tc>
              <w:tc>
                <w:tcPr>
                  <w:tcW w:w="1962" w:type="dxa"/>
                  <w:gridSpan w:val="2"/>
                  <w:vAlign w:val="center"/>
                </w:tcPr>
                <w:p>
                  <w:pPr>
                    <w:widowControl/>
                    <w:wordWrap w:val="0"/>
                    <w:jc w:val="center"/>
                    <w:rPr>
                      <w:b/>
                      <w:bCs/>
                      <w:color w:val="auto"/>
                      <w:szCs w:val="21"/>
                      <w:highlight w:val="none"/>
                    </w:rPr>
                  </w:pPr>
                  <w:r>
                    <w:rPr>
                      <w:b/>
                      <w:bCs/>
                      <w:color w:val="auto"/>
                      <w:szCs w:val="21"/>
                      <w:highlight w:val="none"/>
                    </w:rPr>
                    <w:t>中期</w:t>
                  </w:r>
                </w:p>
              </w:tc>
              <w:tc>
                <w:tcPr>
                  <w:tcW w:w="2191" w:type="dxa"/>
                  <w:gridSpan w:val="2"/>
                  <w:vAlign w:val="center"/>
                </w:tcPr>
                <w:p>
                  <w:pPr>
                    <w:jc w:val="center"/>
                    <w:rPr>
                      <w:b/>
                      <w:bCs/>
                      <w:color w:val="auto"/>
                      <w:szCs w:val="21"/>
                      <w:highlight w:val="none"/>
                    </w:rPr>
                  </w:pPr>
                  <w:r>
                    <w:rPr>
                      <w:b/>
                      <w:bCs/>
                      <w:color w:val="auto"/>
                      <w:szCs w:val="21"/>
                      <w:highlight w:val="none"/>
                    </w:rPr>
                    <w:t>远期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5" w:type="dxa"/>
                  <w:vMerge w:val="continue"/>
                </w:tcPr>
                <w:p>
                  <w:pPr>
                    <w:wordWrap w:val="0"/>
                    <w:jc w:val="center"/>
                    <w:rPr>
                      <w:color w:val="auto"/>
                      <w:highlight w:val="none"/>
                    </w:rPr>
                  </w:pPr>
                </w:p>
              </w:tc>
              <w:tc>
                <w:tcPr>
                  <w:tcW w:w="974" w:type="dxa"/>
                  <w:vMerge w:val="continue"/>
                </w:tcPr>
                <w:p>
                  <w:pPr>
                    <w:wordWrap w:val="0"/>
                    <w:jc w:val="center"/>
                    <w:rPr>
                      <w:color w:val="auto"/>
                      <w:highlight w:val="none"/>
                    </w:rPr>
                  </w:pPr>
                </w:p>
              </w:tc>
              <w:tc>
                <w:tcPr>
                  <w:tcW w:w="910" w:type="dxa"/>
                  <w:vAlign w:val="center"/>
                </w:tcPr>
                <w:p>
                  <w:pPr>
                    <w:jc w:val="center"/>
                    <w:rPr>
                      <w:b/>
                      <w:bCs/>
                      <w:color w:val="auto"/>
                      <w:szCs w:val="21"/>
                      <w:highlight w:val="none"/>
                    </w:rPr>
                  </w:pPr>
                  <w:r>
                    <w:rPr>
                      <w:b/>
                      <w:bCs/>
                      <w:color w:val="auto"/>
                      <w:szCs w:val="21"/>
                      <w:highlight w:val="none"/>
                    </w:rPr>
                    <w:t>昼间</w:t>
                  </w:r>
                </w:p>
              </w:tc>
              <w:tc>
                <w:tcPr>
                  <w:tcW w:w="872" w:type="dxa"/>
                  <w:vAlign w:val="center"/>
                </w:tcPr>
                <w:p>
                  <w:pPr>
                    <w:jc w:val="center"/>
                    <w:rPr>
                      <w:b/>
                      <w:bCs/>
                      <w:color w:val="auto"/>
                      <w:szCs w:val="21"/>
                      <w:highlight w:val="none"/>
                    </w:rPr>
                  </w:pPr>
                  <w:r>
                    <w:rPr>
                      <w:b/>
                      <w:bCs/>
                      <w:color w:val="auto"/>
                      <w:szCs w:val="21"/>
                      <w:highlight w:val="none"/>
                    </w:rPr>
                    <w:t>夜间</w:t>
                  </w:r>
                </w:p>
              </w:tc>
              <w:tc>
                <w:tcPr>
                  <w:tcW w:w="962" w:type="dxa"/>
                  <w:vAlign w:val="center"/>
                </w:tcPr>
                <w:p>
                  <w:pPr>
                    <w:jc w:val="center"/>
                    <w:rPr>
                      <w:b/>
                      <w:bCs/>
                      <w:color w:val="auto"/>
                      <w:szCs w:val="21"/>
                      <w:highlight w:val="none"/>
                    </w:rPr>
                  </w:pPr>
                  <w:r>
                    <w:rPr>
                      <w:b/>
                      <w:bCs/>
                      <w:color w:val="auto"/>
                      <w:szCs w:val="21"/>
                      <w:highlight w:val="none"/>
                    </w:rPr>
                    <w:t>昼间</w:t>
                  </w:r>
                </w:p>
              </w:tc>
              <w:tc>
                <w:tcPr>
                  <w:tcW w:w="1000" w:type="dxa"/>
                  <w:vAlign w:val="center"/>
                </w:tcPr>
                <w:p>
                  <w:pPr>
                    <w:jc w:val="center"/>
                    <w:rPr>
                      <w:b/>
                      <w:bCs/>
                      <w:color w:val="auto"/>
                      <w:szCs w:val="21"/>
                      <w:highlight w:val="none"/>
                    </w:rPr>
                  </w:pPr>
                  <w:r>
                    <w:rPr>
                      <w:b/>
                      <w:bCs/>
                      <w:color w:val="auto"/>
                      <w:szCs w:val="21"/>
                      <w:highlight w:val="none"/>
                    </w:rPr>
                    <w:t>夜间</w:t>
                  </w:r>
                </w:p>
              </w:tc>
              <w:tc>
                <w:tcPr>
                  <w:tcW w:w="1038" w:type="dxa"/>
                  <w:vAlign w:val="center"/>
                </w:tcPr>
                <w:p>
                  <w:pPr>
                    <w:jc w:val="center"/>
                    <w:rPr>
                      <w:b/>
                      <w:bCs/>
                      <w:color w:val="auto"/>
                      <w:szCs w:val="21"/>
                      <w:highlight w:val="none"/>
                    </w:rPr>
                  </w:pPr>
                  <w:r>
                    <w:rPr>
                      <w:b/>
                      <w:bCs/>
                      <w:color w:val="auto"/>
                      <w:szCs w:val="21"/>
                      <w:highlight w:val="none"/>
                    </w:rPr>
                    <w:t>昼间</w:t>
                  </w:r>
                </w:p>
              </w:tc>
              <w:tc>
                <w:tcPr>
                  <w:tcW w:w="1153" w:type="dxa"/>
                  <w:vAlign w:val="center"/>
                </w:tcPr>
                <w:p>
                  <w:pPr>
                    <w:jc w:val="center"/>
                    <w:rPr>
                      <w:b/>
                      <w:bCs/>
                      <w:color w:val="auto"/>
                      <w:szCs w:val="21"/>
                      <w:highlight w:val="none"/>
                    </w:rPr>
                  </w:pPr>
                  <w:r>
                    <w:rPr>
                      <w:b/>
                      <w:bCs/>
                      <w:color w:val="auto"/>
                      <w:szCs w:val="21"/>
                      <w:highlight w:val="none"/>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5" w:type="dxa"/>
                  <w:vMerge w:val="restart"/>
                  <w:vAlign w:val="center"/>
                </w:tcPr>
                <w:p>
                  <w:pPr>
                    <w:widowControl/>
                    <w:wordWrap w:val="0"/>
                    <w:jc w:val="center"/>
                    <w:rPr>
                      <w:color w:val="auto"/>
                      <w:highlight w:val="none"/>
                    </w:rPr>
                  </w:pPr>
                  <w:r>
                    <w:rPr>
                      <w:rFonts w:hint="eastAsia"/>
                      <w:color w:val="auto"/>
                      <w:szCs w:val="21"/>
                      <w:highlight w:val="none"/>
                    </w:rPr>
                    <w:t>扬东路西延</w:t>
                  </w:r>
                </w:p>
              </w:tc>
              <w:tc>
                <w:tcPr>
                  <w:tcW w:w="974" w:type="dxa"/>
                  <w:vAlign w:val="center"/>
                </w:tcPr>
                <w:p>
                  <w:pPr>
                    <w:widowControl/>
                    <w:jc w:val="center"/>
                    <w:rPr>
                      <w:color w:val="auto"/>
                      <w:szCs w:val="21"/>
                      <w:highlight w:val="none"/>
                    </w:rPr>
                  </w:pPr>
                  <w:r>
                    <w:rPr>
                      <w:color w:val="auto"/>
                      <w:szCs w:val="21"/>
                      <w:highlight w:val="none"/>
                    </w:rPr>
                    <w:t>小型车</w:t>
                  </w:r>
                </w:p>
              </w:tc>
              <w:tc>
                <w:tcPr>
                  <w:tcW w:w="910" w:type="dxa"/>
                  <w:vAlign w:val="center"/>
                </w:tcPr>
                <w:p>
                  <w:pPr>
                    <w:widowControl/>
                    <w:jc w:val="center"/>
                    <w:textAlignment w:val="center"/>
                    <w:rPr>
                      <w:color w:val="auto"/>
                      <w:szCs w:val="21"/>
                      <w:highlight w:val="none"/>
                    </w:rPr>
                  </w:pPr>
                  <w:r>
                    <w:rPr>
                      <w:color w:val="auto"/>
                      <w:kern w:val="0"/>
                      <w:szCs w:val="21"/>
                      <w:highlight w:val="none"/>
                    </w:rPr>
                    <w:t xml:space="preserve">967 </w:t>
                  </w:r>
                </w:p>
              </w:tc>
              <w:tc>
                <w:tcPr>
                  <w:tcW w:w="872" w:type="dxa"/>
                  <w:vAlign w:val="center"/>
                </w:tcPr>
                <w:p>
                  <w:pPr>
                    <w:widowControl/>
                    <w:jc w:val="center"/>
                    <w:textAlignment w:val="center"/>
                    <w:rPr>
                      <w:color w:val="auto"/>
                      <w:szCs w:val="21"/>
                      <w:highlight w:val="none"/>
                    </w:rPr>
                  </w:pPr>
                  <w:r>
                    <w:rPr>
                      <w:color w:val="auto"/>
                      <w:kern w:val="0"/>
                      <w:szCs w:val="21"/>
                      <w:highlight w:val="none"/>
                    </w:rPr>
                    <w:t xml:space="preserve">483 </w:t>
                  </w:r>
                </w:p>
              </w:tc>
              <w:tc>
                <w:tcPr>
                  <w:tcW w:w="962" w:type="dxa"/>
                  <w:vAlign w:val="center"/>
                </w:tcPr>
                <w:p>
                  <w:pPr>
                    <w:widowControl/>
                    <w:jc w:val="center"/>
                    <w:textAlignment w:val="center"/>
                    <w:rPr>
                      <w:color w:val="auto"/>
                      <w:szCs w:val="21"/>
                      <w:highlight w:val="none"/>
                    </w:rPr>
                  </w:pPr>
                  <w:r>
                    <w:rPr>
                      <w:color w:val="auto"/>
                      <w:kern w:val="0"/>
                      <w:szCs w:val="21"/>
                      <w:highlight w:val="none"/>
                    </w:rPr>
                    <w:t xml:space="preserve">1160 </w:t>
                  </w:r>
                </w:p>
              </w:tc>
              <w:tc>
                <w:tcPr>
                  <w:tcW w:w="1000" w:type="dxa"/>
                  <w:vAlign w:val="center"/>
                </w:tcPr>
                <w:p>
                  <w:pPr>
                    <w:widowControl/>
                    <w:jc w:val="center"/>
                    <w:textAlignment w:val="center"/>
                    <w:rPr>
                      <w:color w:val="auto"/>
                      <w:szCs w:val="21"/>
                      <w:highlight w:val="none"/>
                    </w:rPr>
                  </w:pPr>
                  <w:r>
                    <w:rPr>
                      <w:color w:val="auto"/>
                      <w:kern w:val="0"/>
                      <w:szCs w:val="21"/>
                      <w:highlight w:val="none"/>
                    </w:rPr>
                    <w:t xml:space="preserve">580 </w:t>
                  </w:r>
                </w:p>
              </w:tc>
              <w:tc>
                <w:tcPr>
                  <w:tcW w:w="1038" w:type="dxa"/>
                  <w:vAlign w:val="center"/>
                </w:tcPr>
                <w:p>
                  <w:pPr>
                    <w:widowControl/>
                    <w:jc w:val="center"/>
                    <w:textAlignment w:val="center"/>
                    <w:rPr>
                      <w:color w:val="auto"/>
                      <w:szCs w:val="21"/>
                      <w:highlight w:val="none"/>
                    </w:rPr>
                  </w:pPr>
                  <w:r>
                    <w:rPr>
                      <w:color w:val="auto"/>
                      <w:kern w:val="0"/>
                      <w:szCs w:val="21"/>
                      <w:highlight w:val="none"/>
                    </w:rPr>
                    <w:t xml:space="preserve">1508 </w:t>
                  </w:r>
                </w:p>
              </w:tc>
              <w:tc>
                <w:tcPr>
                  <w:tcW w:w="1153" w:type="dxa"/>
                  <w:vAlign w:val="center"/>
                </w:tcPr>
                <w:p>
                  <w:pPr>
                    <w:widowControl/>
                    <w:jc w:val="center"/>
                    <w:textAlignment w:val="center"/>
                    <w:rPr>
                      <w:color w:val="auto"/>
                      <w:szCs w:val="21"/>
                      <w:highlight w:val="none"/>
                    </w:rPr>
                  </w:pPr>
                  <w:r>
                    <w:rPr>
                      <w:color w:val="auto"/>
                      <w:kern w:val="0"/>
                      <w:szCs w:val="21"/>
                      <w:highlight w:val="none"/>
                    </w:rPr>
                    <w:t xml:space="preserve">754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5" w:type="dxa"/>
                  <w:vMerge w:val="continue"/>
                </w:tcPr>
                <w:p>
                  <w:pPr>
                    <w:wordWrap w:val="0"/>
                    <w:jc w:val="center"/>
                    <w:rPr>
                      <w:color w:val="auto"/>
                      <w:highlight w:val="none"/>
                    </w:rPr>
                  </w:pPr>
                </w:p>
              </w:tc>
              <w:tc>
                <w:tcPr>
                  <w:tcW w:w="974" w:type="dxa"/>
                  <w:vAlign w:val="center"/>
                </w:tcPr>
                <w:p>
                  <w:pPr>
                    <w:jc w:val="center"/>
                    <w:rPr>
                      <w:color w:val="auto"/>
                      <w:szCs w:val="21"/>
                      <w:highlight w:val="none"/>
                    </w:rPr>
                  </w:pPr>
                  <w:r>
                    <w:rPr>
                      <w:color w:val="auto"/>
                      <w:szCs w:val="21"/>
                      <w:highlight w:val="none"/>
                    </w:rPr>
                    <w:t>中型车</w:t>
                  </w:r>
                </w:p>
              </w:tc>
              <w:tc>
                <w:tcPr>
                  <w:tcW w:w="910" w:type="dxa"/>
                  <w:vAlign w:val="center"/>
                </w:tcPr>
                <w:p>
                  <w:pPr>
                    <w:widowControl/>
                    <w:jc w:val="center"/>
                    <w:textAlignment w:val="center"/>
                    <w:rPr>
                      <w:color w:val="auto"/>
                      <w:szCs w:val="21"/>
                      <w:highlight w:val="none"/>
                    </w:rPr>
                  </w:pPr>
                  <w:r>
                    <w:rPr>
                      <w:color w:val="auto"/>
                      <w:kern w:val="0"/>
                      <w:szCs w:val="21"/>
                      <w:highlight w:val="none"/>
                    </w:rPr>
                    <w:t xml:space="preserve">276 </w:t>
                  </w:r>
                </w:p>
              </w:tc>
              <w:tc>
                <w:tcPr>
                  <w:tcW w:w="872" w:type="dxa"/>
                  <w:vAlign w:val="center"/>
                </w:tcPr>
                <w:p>
                  <w:pPr>
                    <w:widowControl/>
                    <w:jc w:val="center"/>
                    <w:textAlignment w:val="center"/>
                    <w:rPr>
                      <w:color w:val="auto"/>
                      <w:szCs w:val="21"/>
                      <w:highlight w:val="none"/>
                    </w:rPr>
                  </w:pPr>
                  <w:r>
                    <w:rPr>
                      <w:color w:val="auto"/>
                      <w:kern w:val="0"/>
                      <w:szCs w:val="21"/>
                      <w:highlight w:val="none"/>
                    </w:rPr>
                    <w:t xml:space="preserve">138 </w:t>
                  </w:r>
                </w:p>
              </w:tc>
              <w:tc>
                <w:tcPr>
                  <w:tcW w:w="962" w:type="dxa"/>
                  <w:vAlign w:val="center"/>
                </w:tcPr>
                <w:p>
                  <w:pPr>
                    <w:widowControl/>
                    <w:jc w:val="center"/>
                    <w:textAlignment w:val="center"/>
                    <w:rPr>
                      <w:color w:val="auto"/>
                      <w:szCs w:val="21"/>
                      <w:highlight w:val="none"/>
                    </w:rPr>
                  </w:pPr>
                  <w:r>
                    <w:rPr>
                      <w:color w:val="auto"/>
                      <w:kern w:val="0"/>
                      <w:szCs w:val="21"/>
                      <w:highlight w:val="none"/>
                    </w:rPr>
                    <w:t xml:space="preserve">331 </w:t>
                  </w:r>
                </w:p>
              </w:tc>
              <w:tc>
                <w:tcPr>
                  <w:tcW w:w="1000" w:type="dxa"/>
                  <w:vAlign w:val="center"/>
                </w:tcPr>
                <w:p>
                  <w:pPr>
                    <w:widowControl/>
                    <w:jc w:val="center"/>
                    <w:textAlignment w:val="center"/>
                    <w:rPr>
                      <w:color w:val="auto"/>
                      <w:szCs w:val="21"/>
                      <w:highlight w:val="none"/>
                    </w:rPr>
                  </w:pPr>
                  <w:r>
                    <w:rPr>
                      <w:color w:val="auto"/>
                      <w:kern w:val="0"/>
                      <w:szCs w:val="21"/>
                      <w:highlight w:val="none"/>
                    </w:rPr>
                    <w:t xml:space="preserve">166 </w:t>
                  </w:r>
                </w:p>
              </w:tc>
              <w:tc>
                <w:tcPr>
                  <w:tcW w:w="1038" w:type="dxa"/>
                  <w:vAlign w:val="center"/>
                </w:tcPr>
                <w:p>
                  <w:pPr>
                    <w:widowControl/>
                    <w:jc w:val="center"/>
                    <w:textAlignment w:val="center"/>
                    <w:rPr>
                      <w:color w:val="auto"/>
                      <w:szCs w:val="21"/>
                      <w:highlight w:val="none"/>
                    </w:rPr>
                  </w:pPr>
                  <w:r>
                    <w:rPr>
                      <w:color w:val="auto"/>
                      <w:kern w:val="0"/>
                      <w:szCs w:val="21"/>
                      <w:highlight w:val="none"/>
                    </w:rPr>
                    <w:t xml:space="preserve">431 </w:t>
                  </w:r>
                </w:p>
              </w:tc>
              <w:tc>
                <w:tcPr>
                  <w:tcW w:w="1153" w:type="dxa"/>
                  <w:vAlign w:val="center"/>
                </w:tcPr>
                <w:p>
                  <w:pPr>
                    <w:widowControl/>
                    <w:jc w:val="center"/>
                    <w:textAlignment w:val="center"/>
                    <w:rPr>
                      <w:color w:val="auto"/>
                      <w:szCs w:val="21"/>
                      <w:highlight w:val="none"/>
                    </w:rPr>
                  </w:pPr>
                  <w:r>
                    <w:rPr>
                      <w:color w:val="auto"/>
                      <w:kern w:val="0"/>
                      <w:szCs w:val="21"/>
                      <w:highlight w:val="none"/>
                    </w:rPr>
                    <w:t xml:space="preserve">215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05" w:type="dxa"/>
                  <w:vMerge w:val="continue"/>
                </w:tcPr>
                <w:p>
                  <w:pPr>
                    <w:wordWrap w:val="0"/>
                    <w:jc w:val="center"/>
                    <w:rPr>
                      <w:color w:val="auto"/>
                      <w:highlight w:val="none"/>
                    </w:rPr>
                  </w:pPr>
                </w:p>
              </w:tc>
              <w:tc>
                <w:tcPr>
                  <w:tcW w:w="974" w:type="dxa"/>
                  <w:vAlign w:val="center"/>
                </w:tcPr>
                <w:p>
                  <w:pPr>
                    <w:jc w:val="center"/>
                    <w:rPr>
                      <w:color w:val="auto"/>
                      <w:szCs w:val="21"/>
                      <w:highlight w:val="none"/>
                    </w:rPr>
                  </w:pPr>
                  <w:r>
                    <w:rPr>
                      <w:rFonts w:hint="eastAsia"/>
                      <w:color w:val="auto"/>
                      <w:szCs w:val="21"/>
                      <w:highlight w:val="none"/>
                    </w:rPr>
                    <w:t>大型车</w:t>
                  </w:r>
                </w:p>
              </w:tc>
              <w:tc>
                <w:tcPr>
                  <w:tcW w:w="910" w:type="dxa"/>
                  <w:vAlign w:val="center"/>
                </w:tcPr>
                <w:p>
                  <w:pPr>
                    <w:widowControl/>
                    <w:jc w:val="center"/>
                    <w:textAlignment w:val="center"/>
                    <w:rPr>
                      <w:color w:val="auto"/>
                      <w:kern w:val="0"/>
                      <w:szCs w:val="21"/>
                      <w:highlight w:val="none"/>
                    </w:rPr>
                  </w:pPr>
                  <w:r>
                    <w:rPr>
                      <w:color w:val="auto"/>
                      <w:kern w:val="0"/>
                      <w:szCs w:val="21"/>
                      <w:highlight w:val="none"/>
                    </w:rPr>
                    <w:t xml:space="preserve">138 </w:t>
                  </w:r>
                </w:p>
              </w:tc>
              <w:tc>
                <w:tcPr>
                  <w:tcW w:w="872" w:type="dxa"/>
                  <w:vAlign w:val="center"/>
                </w:tcPr>
                <w:p>
                  <w:pPr>
                    <w:widowControl/>
                    <w:jc w:val="center"/>
                    <w:textAlignment w:val="center"/>
                    <w:rPr>
                      <w:color w:val="auto"/>
                      <w:kern w:val="0"/>
                      <w:szCs w:val="21"/>
                      <w:highlight w:val="none"/>
                    </w:rPr>
                  </w:pPr>
                  <w:r>
                    <w:rPr>
                      <w:color w:val="auto"/>
                      <w:kern w:val="0"/>
                      <w:szCs w:val="21"/>
                      <w:highlight w:val="none"/>
                    </w:rPr>
                    <w:t xml:space="preserve">69 </w:t>
                  </w:r>
                </w:p>
              </w:tc>
              <w:tc>
                <w:tcPr>
                  <w:tcW w:w="962" w:type="dxa"/>
                  <w:vAlign w:val="center"/>
                </w:tcPr>
                <w:p>
                  <w:pPr>
                    <w:widowControl/>
                    <w:jc w:val="center"/>
                    <w:textAlignment w:val="center"/>
                    <w:rPr>
                      <w:color w:val="auto"/>
                      <w:kern w:val="0"/>
                      <w:szCs w:val="21"/>
                      <w:highlight w:val="none"/>
                    </w:rPr>
                  </w:pPr>
                  <w:r>
                    <w:rPr>
                      <w:color w:val="auto"/>
                      <w:kern w:val="0"/>
                      <w:szCs w:val="21"/>
                      <w:highlight w:val="none"/>
                    </w:rPr>
                    <w:t xml:space="preserve">166 </w:t>
                  </w:r>
                </w:p>
              </w:tc>
              <w:tc>
                <w:tcPr>
                  <w:tcW w:w="1000" w:type="dxa"/>
                  <w:vAlign w:val="center"/>
                </w:tcPr>
                <w:p>
                  <w:pPr>
                    <w:widowControl/>
                    <w:jc w:val="center"/>
                    <w:textAlignment w:val="center"/>
                    <w:rPr>
                      <w:color w:val="auto"/>
                      <w:kern w:val="0"/>
                      <w:szCs w:val="21"/>
                      <w:highlight w:val="none"/>
                    </w:rPr>
                  </w:pPr>
                  <w:r>
                    <w:rPr>
                      <w:color w:val="auto"/>
                      <w:kern w:val="0"/>
                      <w:szCs w:val="21"/>
                      <w:highlight w:val="none"/>
                    </w:rPr>
                    <w:t xml:space="preserve">83 </w:t>
                  </w:r>
                </w:p>
              </w:tc>
              <w:tc>
                <w:tcPr>
                  <w:tcW w:w="1038" w:type="dxa"/>
                  <w:vAlign w:val="center"/>
                </w:tcPr>
                <w:p>
                  <w:pPr>
                    <w:widowControl/>
                    <w:jc w:val="center"/>
                    <w:textAlignment w:val="center"/>
                    <w:rPr>
                      <w:color w:val="auto"/>
                      <w:kern w:val="0"/>
                      <w:szCs w:val="21"/>
                      <w:highlight w:val="none"/>
                    </w:rPr>
                  </w:pPr>
                  <w:r>
                    <w:rPr>
                      <w:color w:val="auto"/>
                      <w:kern w:val="0"/>
                      <w:szCs w:val="21"/>
                      <w:highlight w:val="none"/>
                    </w:rPr>
                    <w:t xml:space="preserve">215 </w:t>
                  </w:r>
                </w:p>
              </w:tc>
              <w:tc>
                <w:tcPr>
                  <w:tcW w:w="1153" w:type="dxa"/>
                  <w:vAlign w:val="center"/>
                </w:tcPr>
                <w:p>
                  <w:pPr>
                    <w:widowControl/>
                    <w:jc w:val="center"/>
                    <w:textAlignment w:val="center"/>
                    <w:rPr>
                      <w:color w:val="auto"/>
                      <w:kern w:val="0"/>
                      <w:szCs w:val="21"/>
                      <w:highlight w:val="none"/>
                    </w:rPr>
                  </w:pPr>
                  <w:r>
                    <w:rPr>
                      <w:color w:val="auto"/>
                      <w:kern w:val="0"/>
                      <w:szCs w:val="21"/>
                      <w:highlight w:val="none"/>
                    </w:rPr>
                    <w:t xml:space="preserve">108 </w:t>
                  </w:r>
                </w:p>
              </w:tc>
            </w:tr>
          </w:tbl>
          <w:p>
            <w:pPr>
              <w:adjustRightInd w:val="0"/>
              <w:snapToGrid w:val="0"/>
              <w:spacing w:line="400" w:lineRule="atLeast"/>
              <w:rPr>
                <w:rFonts w:ascii="宋体" w:hAnsi="宋体"/>
                <w:bCs/>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55" w:hRule="atLeast"/>
          <w:jc w:val="center"/>
        </w:trPr>
        <w:tc>
          <w:tcPr>
            <w:tcW w:w="426" w:type="dxa"/>
            <w:vAlign w:val="center"/>
          </w:tcPr>
          <w:p>
            <w:pPr>
              <w:pStyle w:val="15"/>
              <w:adjustRightInd w:val="0"/>
              <w:snapToGrid w:val="0"/>
              <w:spacing w:before="0" w:beforeAutospacing="0" w:after="0" w:afterAutospacing="0"/>
              <w:jc w:val="center"/>
              <w:rPr>
                <w:color w:val="auto"/>
                <w:sz w:val="21"/>
                <w:szCs w:val="21"/>
                <w:highlight w:val="none"/>
              </w:rPr>
            </w:pPr>
            <w:r>
              <w:rPr>
                <w:rFonts w:hint="eastAsia" w:cs="宋体"/>
                <w:bCs/>
                <w:color w:val="auto"/>
                <w:kern w:val="2"/>
                <w:sz w:val="21"/>
                <w:szCs w:val="21"/>
                <w:highlight w:val="none"/>
              </w:rPr>
              <w:t>总平面及现场布置</w:t>
            </w:r>
          </w:p>
        </w:tc>
        <w:tc>
          <w:tcPr>
            <w:tcW w:w="8634" w:type="dxa"/>
          </w:tcPr>
          <w:p>
            <w:pPr>
              <w:adjustRightInd w:val="0"/>
              <w:snapToGrid w:val="0"/>
              <w:spacing w:line="360" w:lineRule="auto"/>
              <w:ind w:firstLine="480" w:firstLineChars="200"/>
              <w:rPr>
                <w:color w:val="auto"/>
                <w:sz w:val="24"/>
                <w:highlight w:val="none"/>
              </w:rPr>
            </w:pPr>
            <w:r>
              <w:rPr>
                <w:rFonts w:hint="eastAsia"/>
                <w:color w:val="auto"/>
                <w:sz w:val="24"/>
                <w:highlight w:val="none"/>
              </w:rPr>
              <w:t>1、</w:t>
            </w:r>
            <w:r>
              <w:rPr>
                <w:rFonts w:hint="eastAsia"/>
                <w:b/>
                <w:bCs/>
                <w:color w:val="auto"/>
                <w:sz w:val="24"/>
                <w:highlight w:val="none"/>
              </w:rPr>
              <w:t>主体工程平面布置</w:t>
            </w:r>
          </w:p>
          <w:p>
            <w:pPr>
              <w:adjustRightInd w:val="0"/>
              <w:snapToGrid w:val="0"/>
              <w:spacing w:line="360" w:lineRule="auto"/>
              <w:ind w:firstLine="480" w:firstLineChars="200"/>
              <w:rPr>
                <w:bCs/>
                <w:color w:val="auto"/>
                <w:sz w:val="24"/>
                <w:highlight w:val="none"/>
              </w:rPr>
            </w:pPr>
            <w:r>
              <w:rPr>
                <w:color w:val="auto"/>
                <w:sz w:val="24"/>
                <w:highlight w:val="none"/>
              </w:rPr>
              <w:t>本项目位于苏州</w:t>
            </w:r>
            <w:r>
              <w:rPr>
                <w:rFonts w:hint="eastAsia"/>
                <w:color w:val="auto"/>
                <w:sz w:val="24"/>
                <w:highlight w:val="none"/>
              </w:rPr>
              <w:t>工业园区</w:t>
            </w:r>
            <w:r>
              <w:rPr>
                <w:color w:val="auto"/>
                <w:sz w:val="24"/>
                <w:highlight w:val="none"/>
              </w:rPr>
              <w:t>，本工程是一条</w:t>
            </w:r>
            <w:r>
              <w:rPr>
                <w:rFonts w:hint="eastAsia"/>
                <w:color w:val="auto"/>
                <w:sz w:val="24"/>
                <w:highlight w:val="none"/>
              </w:rPr>
              <w:t>南北</w:t>
            </w:r>
            <w:r>
              <w:rPr>
                <w:color w:val="auto"/>
                <w:sz w:val="24"/>
                <w:highlight w:val="none"/>
              </w:rPr>
              <w:t>向的</w:t>
            </w:r>
            <w:r>
              <w:rPr>
                <w:rFonts w:hint="eastAsia"/>
                <w:color w:val="auto"/>
                <w:sz w:val="24"/>
                <w:highlight w:val="none"/>
              </w:rPr>
              <w:t>二级公路（兼城市次干路），</w:t>
            </w:r>
            <w:r>
              <w:rPr>
                <w:color w:val="auto"/>
                <w:sz w:val="24"/>
                <w:highlight w:val="none"/>
              </w:rPr>
              <w:t>建设范围</w:t>
            </w:r>
            <w:r>
              <w:rPr>
                <w:rFonts w:hint="eastAsia"/>
                <w:color w:val="auto"/>
                <w:sz w:val="24"/>
                <w:highlight w:val="none"/>
              </w:rPr>
              <w:t>东</w:t>
            </w:r>
            <w:r>
              <w:rPr>
                <w:rFonts w:hint="eastAsia"/>
                <w:color w:val="auto"/>
                <w:sz w:val="24"/>
                <w:highlight w:val="none"/>
                <w:lang w:val="en-US" w:eastAsia="zh-CN"/>
              </w:rPr>
              <w:t>起</w:t>
            </w:r>
            <w:r>
              <w:rPr>
                <w:rFonts w:hint="eastAsia"/>
                <w:color w:val="auto"/>
                <w:sz w:val="24"/>
                <w:highlight w:val="none"/>
              </w:rPr>
              <w:t>扬帆路，向东下穿苏嘉杭高速高架桥，西</w:t>
            </w:r>
            <w:r>
              <w:rPr>
                <w:rFonts w:hint="eastAsia"/>
                <w:color w:val="auto"/>
                <w:sz w:val="24"/>
                <w:highlight w:val="none"/>
                <w:lang w:val="en-US" w:eastAsia="zh-CN"/>
              </w:rPr>
              <w:t>至</w:t>
            </w:r>
            <w:r>
              <w:rPr>
                <w:rFonts w:hint="eastAsia"/>
                <w:color w:val="auto"/>
                <w:sz w:val="24"/>
                <w:highlight w:val="none"/>
              </w:rPr>
              <w:t>外塘河园区界，路线全长约0.35km，其中扬帆路交叉口不在项目范围内。道路标准断面32m，双向四车道。建设内容包括道路、地下连通道、雨水、绿化、交通安全设施、路灯等附属工程以及相关公用管线的迁改等。</w:t>
            </w:r>
          </w:p>
          <w:p>
            <w:pPr>
              <w:adjustRightInd w:val="0"/>
              <w:snapToGrid w:val="0"/>
              <w:spacing w:line="360" w:lineRule="auto"/>
              <w:ind w:firstLine="480" w:firstLineChars="200"/>
              <w:rPr>
                <w:color w:val="auto"/>
                <w:sz w:val="24"/>
                <w:highlight w:val="none"/>
              </w:rPr>
            </w:pPr>
            <w:r>
              <w:rPr>
                <w:rFonts w:hint="eastAsia"/>
                <w:color w:val="auto"/>
                <w:sz w:val="24"/>
                <w:highlight w:val="none"/>
              </w:rPr>
              <w:t>道路北侧现状为二手汽车市场、其他区域为绿化、空地及河道，两测用地规划为</w:t>
            </w:r>
            <w:r>
              <w:rPr>
                <w:rFonts w:hint="eastAsia"/>
                <w:color w:val="auto"/>
                <w:sz w:val="24"/>
                <w:highlight w:val="none"/>
                <w:lang w:val="en-US" w:eastAsia="zh-CN"/>
              </w:rPr>
              <w:t>商业设施用地</w:t>
            </w:r>
            <w:r>
              <w:rPr>
                <w:rFonts w:hint="eastAsia"/>
                <w:color w:val="auto"/>
                <w:sz w:val="24"/>
                <w:highlight w:val="none"/>
              </w:rPr>
              <w:t>。项目周边状况详见附图2</w:t>
            </w:r>
            <w:r>
              <w:rPr>
                <w:color w:val="auto"/>
                <w:sz w:val="24"/>
                <w:highlight w:val="none"/>
              </w:rPr>
              <w:t>。</w:t>
            </w:r>
          </w:p>
          <w:p>
            <w:pPr>
              <w:pStyle w:val="23"/>
              <w:spacing w:line="400" w:lineRule="atLeast"/>
              <w:jc w:val="center"/>
              <w:rPr>
                <w:color w:val="auto"/>
                <w:highlight w:val="none"/>
              </w:rPr>
            </w:pPr>
            <w:r>
              <w:rPr>
                <w:rFonts w:hint="eastAsia"/>
                <w:color w:val="auto"/>
                <w:highlight w:val="none"/>
              </w:rPr>
              <w:drawing>
                <wp:inline distT="0" distB="0" distL="114300" distR="114300">
                  <wp:extent cx="5340985" cy="4281170"/>
                  <wp:effectExtent l="0" t="0" r="12065" b="5080"/>
                  <wp:docPr id="23" name="图片 23" descr="171271907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12719077123"/>
                          <pic:cNvPicPr>
                            <a:picLocks noChangeAspect="1"/>
                          </pic:cNvPicPr>
                        </pic:nvPicPr>
                        <pic:blipFill>
                          <a:blip r:embed="rId22" cstate="print"/>
                          <a:stretch>
                            <a:fillRect/>
                          </a:stretch>
                        </pic:blipFill>
                        <pic:spPr>
                          <a:xfrm>
                            <a:off x="0" y="0"/>
                            <a:ext cx="5340985" cy="4281170"/>
                          </a:xfrm>
                          <a:prstGeom prst="rect">
                            <a:avLst/>
                          </a:prstGeom>
                        </pic:spPr>
                      </pic:pic>
                    </a:graphicData>
                  </a:graphic>
                </wp:inline>
              </w:drawing>
            </w:r>
          </w:p>
          <w:p>
            <w:pPr>
              <w:pStyle w:val="23"/>
              <w:spacing w:line="400" w:lineRule="atLeast"/>
              <w:ind w:firstLine="422" w:firstLineChars="200"/>
              <w:jc w:val="center"/>
              <w:rPr>
                <w:b/>
                <w:bCs/>
                <w:color w:val="auto"/>
                <w:sz w:val="21"/>
                <w:szCs w:val="21"/>
                <w:highlight w:val="none"/>
              </w:rPr>
            </w:pPr>
            <w:r>
              <w:rPr>
                <w:rFonts w:hint="eastAsia"/>
                <w:b/>
                <w:bCs/>
                <w:color w:val="auto"/>
                <w:sz w:val="21"/>
                <w:szCs w:val="21"/>
                <w:highlight w:val="none"/>
              </w:rPr>
              <w:t>图2-14  扬东路西延周边状况图</w:t>
            </w:r>
          </w:p>
          <w:p>
            <w:pPr>
              <w:pStyle w:val="23"/>
              <w:rPr>
                <w:color w:val="auto"/>
                <w:highlight w:val="none"/>
              </w:rPr>
            </w:pPr>
          </w:p>
          <w:p>
            <w:pPr>
              <w:adjustRightInd w:val="0"/>
              <w:snapToGrid w:val="0"/>
              <w:spacing w:line="360" w:lineRule="auto"/>
              <w:ind w:firstLine="480" w:firstLineChars="200"/>
              <w:rPr>
                <w:color w:val="auto"/>
                <w:sz w:val="24"/>
                <w:highlight w:val="none"/>
              </w:rPr>
            </w:pPr>
            <w:r>
              <w:rPr>
                <w:rFonts w:hint="eastAsia"/>
                <w:color w:val="auto"/>
                <w:sz w:val="24"/>
                <w:highlight w:val="none"/>
              </w:rPr>
              <w:t>2、施工期间临时工程布置：</w:t>
            </w:r>
          </w:p>
          <w:p>
            <w:pPr>
              <w:adjustRightInd w:val="0"/>
              <w:snapToGrid w:val="0"/>
              <w:spacing w:line="360" w:lineRule="auto"/>
              <w:ind w:firstLine="480" w:firstLineChars="200"/>
              <w:rPr>
                <w:color w:val="auto"/>
                <w:sz w:val="24"/>
                <w:highlight w:val="none"/>
              </w:rPr>
            </w:pPr>
            <w:r>
              <w:rPr>
                <w:rFonts w:hint="eastAsia"/>
                <w:color w:val="auto"/>
                <w:sz w:val="24"/>
                <w:highlight w:val="none"/>
              </w:rPr>
              <w:t>本项目所需的沥青和混凝土全部外购，不设置沥青拌和站、混凝土拌合站；项目不设置专门的取土坑，缺方由外购所得；项目不设置专门的弃土场，弃方由中标单位委托有资质第三方处理。</w:t>
            </w:r>
          </w:p>
          <w:p>
            <w:pPr>
              <w:adjustRightInd w:val="0"/>
              <w:snapToGrid w:val="0"/>
              <w:spacing w:line="360" w:lineRule="auto"/>
              <w:ind w:firstLine="480" w:firstLineChars="200"/>
              <w:rPr>
                <w:color w:val="auto"/>
                <w:sz w:val="24"/>
                <w:highlight w:val="none"/>
              </w:rPr>
            </w:pPr>
            <w:r>
              <w:rPr>
                <w:rFonts w:hint="eastAsia"/>
                <w:color w:val="auto"/>
                <w:sz w:val="24"/>
                <w:highlight w:val="none"/>
              </w:rPr>
              <w:t>为减少施工期间对沿线居民及企业的影响，在晚上十一时至次日上午六时内不施工，同时采用低噪声机械。夜间需要施工的情况，施工机械采取降噪措施，同时在工地周围或居民集中地周围设立临时的声障之类的装置，以保证居民区的声环境质量。为了减少工程扬尘对周围环境的影响，施工中遇到连续的晴好天气又起风的情况下，对弃土表面洒上一些水，防止扬尘。工程承包者按照弃土处理计划，及时运走弃土保持环境整洁。</w:t>
            </w:r>
          </w:p>
          <w:p>
            <w:pPr>
              <w:pStyle w:val="27"/>
              <w:spacing w:line="360" w:lineRule="auto"/>
              <w:ind w:firstLine="480"/>
              <w:rPr>
                <w:rFonts w:eastAsia="宋体"/>
                <w:color w:val="auto"/>
                <w:sz w:val="24"/>
                <w:highlight w:val="none"/>
              </w:rPr>
            </w:pPr>
            <w:r>
              <w:rPr>
                <w:rFonts w:hint="eastAsia" w:eastAsia="宋体"/>
                <w:color w:val="auto"/>
                <w:sz w:val="24"/>
                <w:highlight w:val="none"/>
              </w:rPr>
              <w:t>根据本项目施工特点和沿线环境特征，拟设置1个施工营地，位置设于项目南侧空地，营地为材料堆场、临时堆土场、施工期停车场等临时工程合建。</w:t>
            </w:r>
            <w:r>
              <w:rPr>
                <w:rFonts w:eastAsia="宋体"/>
                <w:color w:val="auto"/>
                <w:sz w:val="24"/>
                <w:highlight w:val="none"/>
              </w:rPr>
              <w:t>施工便道尽量布置在道路红线内。同时合理布置占用临时用地的施工便道，尽量利用既有道路</w:t>
            </w:r>
            <w:r>
              <w:rPr>
                <w:rFonts w:hint="eastAsia" w:eastAsia="宋体"/>
                <w:color w:val="auto"/>
                <w:sz w:val="24"/>
                <w:highlight w:val="none"/>
              </w:rPr>
              <w:t>。</w:t>
            </w:r>
            <w:r>
              <w:rPr>
                <w:rFonts w:hint="eastAsia" w:ascii="宋体" w:hAnsi="宋体" w:eastAsia="宋体" w:cs="宋体"/>
                <w:color w:val="auto"/>
                <w:sz w:val="24"/>
                <w:highlight w:val="none"/>
              </w:rPr>
              <w:t>本项目不设置弃土场，弃方运送至指定弃土场，不会对区域地貌、地形产生不良影响。</w:t>
            </w:r>
          </w:p>
          <w:p>
            <w:pPr>
              <w:pStyle w:val="27"/>
              <w:spacing w:line="360" w:lineRule="auto"/>
              <w:ind w:firstLine="560"/>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dxa"/>
            <w:vAlign w:val="center"/>
          </w:tcPr>
          <w:p>
            <w:pPr>
              <w:pStyle w:val="15"/>
              <w:adjustRightInd w:val="0"/>
              <w:snapToGrid w:val="0"/>
              <w:spacing w:before="0" w:beforeAutospacing="0" w:after="0" w:afterAutospacing="0"/>
              <w:jc w:val="center"/>
              <w:rPr>
                <w:rFonts w:cs="宋体"/>
                <w:bCs/>
                <w:color w:val="auto"/>
                <w:kern w:val="2"/>
                <w:sz w:val="21"/>
                <w:szCs w:val="21"/>
                <w:highlight w:val="none"/>
              </w:rPr>
            </w:pPr>
            <w:r>
              <w:rPr>
                <w:color w:val="auto"/>
                <w:sz w:val="21"/>
                <w:szCs w:val="21"/>
                <w:highlight w:val="none"/>
              </w:rPr>
              <w:t>施工方案</w:t>
            </w:r>
          </w:p>
        </w:tc>
        <w:tc>
          <w:tcPr>
            <w:tcW w:w="8634" w:type="dxa"/>
          </w:tcPr>
          <w:p>
            <w:pPr>
              <w:adjustRightInd w:val="0"/>
              <w:snapToGrid w:val="0"/>
              <w:spacing w:line="360" w:lineRule="auto"/>
              <w:rPr>
                <w:b/>
                <w:color w:val="auto"/>
                <w:sz w:val="24"/>
                <w:highlight w:val="none"/>
              </w:rPr>
            </w:pPr>
            <w:r>
              <w:rPr>
                <w:b/>
                <w:color w:val="auto"/>
                <w:sz w:val="24"/>
                <w:highlight w:val="none"/>
              </w:rPr>
              <w:t>一、施工</w:t>
            </w:r>
            <w:r>
              <w:rPr>
                <w:rFonts w:hint="eastAsia"/>
                <w:b/>
                <w:color w:val="auto"/>
                <w:sz w:val="24"/>
                <w:highlight w:val="none"/>
              </w:rPr>
              <w:t>工艺</w:t>
            </w:r>
          </w:p>
          <w:p>
            <w:pPr>
              <w:adjustRightInd w:val="0"/>
              <w:snapToGrid w:val="0"/>
              <w:spacing w:line="400" w:lineRule="atLeast"/>
              <w:ind w:firstLine="482" w:firstLineChars="200"/>
              <w:rPr>
                <w:b/>
                <w:color w:val="auto"/>
                <w:sz w:val="24"/>
                <w:highlight w:val="none"/>
              </w:rPr>
            </w:pPr>
            <w:r>
              <w:rPr>
                <w:rFonts w:hint="eastAsia"/>
                <w:b/>
                <w:color w:val="auto"/>
                <w:sz w:val="24"/>
                <w:highlight w:val="none"/>
              </w:rPr>
              <w:t xml:space="preserve">1、道路及地下通道施工工艺 </w:t>
            </w:r>
            <w:r>
              <w:rPr>
                <w:b/>
                <w:color w:val="auto"/>
                <w:sz w:val="24"/>
                <w:highlight w:val="none"/>
              </w:rPr>
              <w:t>：</w:t>
            </w:r>
          </w:p>
          <w:p>
            <w:pPr>
              <w:adjustRightInd w:val="0"/>
              <w:snapToGrid w:val="0"/>
              <w:spacing w:line="400" w:lineRule="atLeast"/>
              <w:rPr>
                <w:bCs/>
                <w:color w:val="auto"/>
                <w:szCs w:val="21"/>
                <w:highlight w:val="none"/>
              </w:rPr>
            </w:pPr>
            <w:r>
              <w:rPr>
                <w:color w:val="auto"/>
                <w:highlight w:val="none"/>
              </w:rPr>
              <w:drawing>
                <wp:inline distT="0" distB="0" distL="114300" distR="114300">
                  <wp:extent cx="5342255" cy="4544060"/>
                  <wp:effectExtent l="0" t="0" r="10795" b="8890"/>
                  <wp:docPr id="1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
                          <pic:cNvPicPr>
                            <a:picLocks noChangeAspect="1"/>
                          </pic:cNvPicPr>
                        </pic:nvPicPr>
                        <pic:blipFill>
                          <a:blip r:embed="rId23" cstate="print"/>
                          <a:stretch>
                            <a:fillRect/>
                          </a:stretch>
                        </pic:blipFill>
                        <pic:spPr>
                          <a:xfrm>
                            <a:off x="0" y="0"/>
                            <a:ext cx="5342255" cy="4544060"/>
                          </a:xfrm>
                          <a:prstGeom prst="rect">
                            <a:avLst/>
                          </a:prstGeom>
                          <a:noFill/>
                          <a:ln>
                            <a:noFill/>
                          </a:ln>
                        </pic:spPr>
                      </pic:pic>
                    </a:graphicData>
                  </a:graphic>
                </wp:inline>
              </w:drawing>
            </w:r>
          </w:p>
          <w:p>
            <w:pPr>
              <w:adjustRightInd w:val="0"/>
              <w:snapToGrid w:val="0"/>
              <w:spacing w:line="400" w:lineRule="atLeast"/>
              <w:jc w:val="center"/>
              <w:rPr>
                <w:rStyle w:val="22"/>
                <w:b/>
                <w:bCs/>
                <w:color w:val="auto"/>
                <w:kern w:val="0"/>
                <w:highlight w:val="none"/>
              </w:rPr>
            </w:pPr>
            <w:r>
              <w:rPr>
                <w:rStyle w:val="22"/>
                <w:rFonts w:hint="eastAsia"/>
                <w:b/>
                <w:bCs/>
                <w:color w:val="auto"/>
                <w:kern w:val="0"/>
                <w:highlight w:val="none"/>
              </w:rPr>
              <w:t>图2-15道路施工流程图</w:t>
            </w:r>
          </w:p>
          <w:p>
            <w:pPr>
              <w:adjustRightInd w:val="0"/>
              <w:snapToGrid w:val="0"/>
              <w:ind w:firstLine="482" w:firstLineChars="200"/>
              <w:rPr>
                <w:rStyle w:val="22"/>
                <w:b/>
                <w:bCs/>
                <w:color w:val="auto"/>
                <w:kern w:val="0"/>
                <w:sz w:val="24"/>
                <w:highlight w:val="none"/>
                <w:lang w:val="zh-CN"/>
              </w:rPr>
            </w:pPr>
            <w:r>
              <w:rPr>
                <w:rStyle w:val="22"/>
                <w:b/>
                <w:bCs/>
                <w:color w:val="auto"/>
                <w:kern w:val="0"/>
                <w:sz w:val="24"/>
                <w:highlight w:val="none"/>
                <w:lang w:val="zh-CN"/>
              </w:rPr>
              <w:t>道路施工说明：</w:t>
            </w:r>
          </w:p>
          <w:p>
            <w:pPr>
              <w:adjustRightInd w:val="0"/>
              <w:snapToGrid w:val="0"/>
              <w:spacing w:line="360" w:lineRule="auto"/>
              <w:ind w:firstLine="480" w:firstLineChars="200"/>
              <w:rPr>
                <w:rStyle w:val="22"/>
                <w:color w:val="auto"/>
                <w:kern w:val="0"/>
                <w:sz w:val="24"/>
                <w:highlight w:val="none"/>
                <w:lang w:val="zh-CN"/>
              </w:rPr>
            </w:pPr>
            <w:r>
              <w:rPr>
                <w:rStyle w:val="22"/>
                <w:rFonts w:hint="eastAsia"/>
                <w:color w:val="auto"/>
                <w:kern w:val="0"/>
                <w:sz w:val="24"/>
                <w:highlight w:val="none"/>
                <w:lang w:val="zh-CN"/>
              </w:rPr>
              <w:t>本项目道路改造</w:t>
            </w:r>
            <w:r>
              <w:rPr>
                <w:rStyle w:val="22"/>
                <w:color w:val="auto"/>
                <w:kern w:val="0"/>
                <w:sz w:val="24"/>
                <w:highlight w:val="none"/>
                <w:lang w:val="zh-CN"/>
              </w:rPr>
              <w:t>经前期勘察、工程施工设计后，需对现状地面进行破土开挖工作，产生扬尘、设备噪声、废水和渣土，对生态产生一定影响。路基路面施工时产生扬尘、噪声和废渣。路面施工完成后需建设配套设施，产生扬尘、噪声和渣土。道路建成后投入使用，产生扬尘、汽车尾气和噪声。</w:t>
            </w:r>
          </w:p>
          <w:p>
            <w:pPr>
              <w:adjustRightInd w:val="0"/>
              <w:snapToGrid w:val="0"/>
              <w:spacing w:line="360" w:lineRule="auto"/>
              <w:ind w:firstLine="480" w:firstLineChars="200"/>
              <w:rPr>
                <w:bCs/>
                <w:color w:val="auto"/>
                <w:sz w:val="24"/>
                <w:highlight w:val="none"/>
              </w:rPr>
            </w:pPr>
            <w:r>
              <w:rPr>
                <w:rStyle w:val="22"/>
                <w:color w:val="auto"/>
                <w:kern w:val="0"/>
                <w:sz w:val="24"/>
                <w:highlight w:val="none"/>
                <w:lang w:val="zh-CN"/>
              </w:rPr>
              <w:t>破土开挖：对现状路面进行破除施工、清理工作，主要使用振捣器对现有路面进行破除，此阶段会产生扬尘及设备噪声。</w:t>
            </w:r>
          </w:p>
          <w:p>
            <w:pPr>
              <w:adjustRightInd w:val="0"/>
              <w:snapToGrid w:val="0"/>
              <w:spacing w:line="360" w:lineRule="auto"/>
              <w:ind w:firstLine="480" w:firstLineChars="200"/>
              <w:rPr>
                <w:bCs/>
                <w:color w:val="auto"/>
                <w:sz w:val="24"/>
                <w:highlight w:val="none"/>
              </w:rPr>
            </w:pPr>
            <w:r>
              <w:rPr>
                <w:bCs/>
                <w:color w:val="auto"/>
                <w:sz w:val="24"/>
                <w:highlight w:val="none"/>
              </w:rPr>
              <w:t>路面</w:t>
            </w:r>
            <w:r>
              <w:rPr>
                <w:rFonts w:hint="eastAsia"/>
                <w:bCs/>
                <w:color w:val="auto"/>
                <w:sz w:val="24"/>
                <w:highlight w:val="none"/>
              </w:rPr>
              <w:t>、</w:t>
            </w:r>
            <w:r>
              <w:rPr>
                <w:bCs/>
                <w:color w:val="auto"/>
                <w:sz w:val="24"/>
                <w:highlight w:val="none"/>
              </w:rPr>
              <w:t>路基</w:t>
            </w:r>
            <w:r>
              <w:rPr>
                <w:rFonts w:hint="eastAsia"/>
                <w:bCs/>
                <w:color w:val="auto"/>
                <w:sz w:val="24"/>
                <w:highlight w:val="none"/>
              </w:rPr>
              <w:t>及引桥</w:t>
            </w:r>
            <w:r>
              <w:rPr>
                <w:bCs/>
                <w:color w:val="auto"/>
                <w:sz w:val="24"/>
                <w:highlight w:val="none"/>
              </w:rPr>
              <w:t>施工：路面施工优先采用机械化施工方案，有条件的情况下应优先引进高效的滑模摊铺机和配套搅拌设备，实现全集中拌和，严格控制材料用量和材料组成，实行严格的工序管理，做好现场监理与工序检测工作，确保施工质量。</w:t>
            </w:r>
          </w:p>
          <w:p>
            <w:pPr>
              <w:adjustRightInd w:val="0"/>
              <w:snapToGrid w:val="0"/>
              <w:spacing w:line="360" w:lineRule="auto"/>
              <w:ind w:firstLine="480" w:firstLineChars="200"/>
              <w:rPr>
                <w:bCs/>
                <w:color w:val="auto"/>
                <w:sz w:val="24"/>
                <w:highlight w:val="none"/>
              </w:rPr>
            </w:pPr>
            <w:r>
              <w:rPr>
                <w:bCs/>
                <w:color w:val="auto"/>
                <w:sz w:val="24"/>
                <w:highlight w:val="none"/>
              </w:rPr>
              <w:t>路面施工前应做好各项室内实验工作。路面施工对施工季节、施工温度、原材料、配合比、平整度等都有很高的要求，故路面工程的施工对施工单位要求教高，宜采用配套路面机械设备，专业化施工方案，严格控制混合料的配合比，确保路面的各种指标符合各项规定要求。路面施工为沥青混合料采用拌合场集中生产的沥青混合料，由自卸卡车运送至施工现场，由沥青摊铺机摊铺，并采用振动压路机进行碾压。</w:t>
            </w:r>
          </w:p>
          <w:p>
            <w:pPr>
              <w:adjustRightInd w:val="0"/>
              <w:snapToGrid w:val="0"/>
              <w:spacing w:line="360" w:lineRule="auto"/>
              <w:ind w:firstLine="480" w:firstLineChars="200"/>
              <w:rPr>
                <w:bCs/>
                <w:color w:val="auto"/>
                <w:sz w:val="24"/>
                <w:highlight w:val="none"/>
              </w:rPr>
            </w:pPr>
            <w:r>
              <w:rPr>
                <w:bCs/>
                <w:color w:val="auto"/>
                <w:sz w:val="24"/>
                <w:highlight w:val="none"/>
              </w:rPr>
              <w:t>路基工程宜采用机械施工为主，适当配合人工路基填土，应控制好土的最佳含水量和密实度，要在最佳含水量的情况下选择适应的压实机械，碾压到规定的密实度；掺拌石灰时，石灰质量和剂量一定要达到设计要求，拌和要均匀，以保证路基的处理效果符合各项规定要求。</w:t>
            </w:r>
          </w:p>
          <w:p>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配套管线和绿化：</w:t>
            </w:r>
            <w:r>
              <w:rPr>
                <w:rStyle w:val="22"/>
                <w:rFonts w:hint="eastAsia"/>
                <w:color w:val="auto"/>
                <w:sz w:val="24"/>
                <w:highlight w:val="none"/>
              </w:rPr>
              <w:t>布置管线断面时尽可能将管线设在非机动车道、人行道及绿化带下，若必须设在快车道下，则避开车辆轮迹线；</w:t>
            </w:r>
            <w:r>
              <w:rPr>
                <w:rFonts w:hint="eastAsia"/>
                <w:bCs/>
                <w:color w:val="auto"/>
                <w:sz w:val="24"/>
                <w:highlight w:val="none"/>
              </w:rPr>
              <w:t>绿化应考虑到道路的特点和周围环境的要求。必须满足交通要求，保护路基、堤面，防止眩光，保证司机视线畅通，创造舒适、安全的行车环境。</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本期预留地下通</w:t>
            </w:r>
            <w:r>
              <w:rPr>
                <w:rFonts w:hint="eastAsia"/>
                <w:bCs/>
                <w:color w:val="auto"/>
                <w:sz w:val="24"/>
                <w:highlight w:val="none"/>
                <w:lang w:val="en-US" w:eastAsia="zh-CN"/>
              </w:rPr>
              <w:t>道</w:t>
            </w:r>
            <w:r>
              <w:rPr>
                <w:rFonts w:hint="eastAsia"/>
                <w:bCs/>
                <w:color w:val="auto"/>
                <w:sz w:val="24"/>
                <w:highlight w:val="none"/>
              </w:rPr>
              <w:t>平面总长为41.084m，均为暗埋段。通道两侧地块远期接口标高（结构底板顶面）按-2.7m控制，由于路幅范围内存在规划管线，最低标高（结构底板顶面）按-4.52m控制，通道两头设置0.5m厚封堵墙封堵。通道暗埋段最低点设集水井，集水井处设置1道截水沟，废水可通过边沟和截水沟引入集水井。</w:t>
            </w:r>
          </w:p>
          <w:p>
            <w:pPr>
              <w:adjustRightInd w:val="0"/>
              <w:snapToGrid w:val="0"/>
              <w:spacing w:line="360" w:lineRule="auto"/>
              <w:ind w:firstLine="482" w:firstLineChars="200"/>
              <w:rPr>
                <w:b/>
                <w:color w:val="auto"/>
                <w:sz w:val="24"/>
                <w:highlight w:val="none"/>
              </w:rPr>
            </w:pPr>
            <w:r>
              <w:rPr>
                <w:rFonts w:hint="eastAsia"/>
                <w:b/>
                <w:color w:val="auto"/>
                <w:sz w:val="24"/>
                <w:highlight w:val="none"/>
              </w:rPr>
              <w:t>地下通道</w:t>
            </w:r>
            <w:r>
              <w:rPr>
                <w:b/>
                <w:color w:val="auto"/>
                <w:sz w:val="24"/>
                <w:highlight w:val="none"/>
              </w:rPr>
              <w:t>工程施工说明：</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地下通道</w:t>
            </w:r>
            <w:r>
              <w:rPr>
                <w:bCs/>
                <w:color w:val="auto"/>
                <w:sz w:val="24"/>
                <w:highlight w:val="none"/>
              </w:rPr>
              <w:t>施工工艺主要包括路面开挖、管道基础施工、管道铺设、进行闭水试验、实验完成后土方回填、场地平整、边坡防护及排水、建筑物构建。在施工前将表土耕作层预先剥离作为土地整治恢复料源，将表土运到指定的临时堆料场堆放，并对其临时堆料场地采取塑料薄膜临时覆盖、四周设临时截流排水沟的防护措施。施工结束后回填表土并恢复植被。</w:t>
            </w:r>
          </w:p>
          <w:p>
            <w:pPr>
              <w:adjustRightInd w:val="0"/>
              <w:snapToGrid w:val="0"/>
              <w:spacing w:line="400" w:lineRule="atLeast"/>
              <w:ind w:firstLine="482" w:firstLineChars="200"/>
              <w:rPr>
                <w:rFonts w:hint="eastAsia"/>
                <w:b/>
                <w:color w:val="auto"/>
                <w:sz w:val="24"/>
                <w:highlight w:val="none"/>
              </w:rPr>
            </w:pPr>
          </w:p>
          <w:p>
            <w:pPr>
              <w:adjustRightInd w:val="0"/>
              <w:snapToGrid w:val="0"/>
              <w:spacing w:line="400" w:lineRule="atLeast"/>
              <w:ind w:firstLine="482" w:firstLineChars="200"/>
              <w:rPr>
                <w:rFonts w:hint="eastAsia"/>
                <w:b/>
                <w:color w:val="auto"/>
                <w:sz w:val="24"/>
                <w:highlight w:val="none"/>
              </w:rPr>
            </w:pPr>
          </w:p>
          <w:p>
            <w:pPr>
              <w:adjustRightInd w:val="0"/>
              <w:snapToGrid w:val="0"/>
              <w:spacing w:line="400" w:lineRule="atLeast"/>
              <w:ind w:firstLine="482" w:firstLineChars="200"/>
              <w:rPr>
                <w:rFonts w:hint="eastAsia"/>
                <w:b/>
                <w:color w:val="auto"/>
                <w:sz w:val="24"/>
                <w:highlight w:val="none"/>
              </w:rPr>
            </w:pPr>
          </w:p>
          <w:p>
            <w:pPr>
              <w:adjustRightInd w:val="0"/>
              <w:snapToGrid w:val="0"/>
              <w:spacing w:line="400" w:lineRule="atLeast"/>
              <w:ind w:firstLine="482" w:firstLineChars="200"/>
              <w:rPr>
                <w:b/>
                <w:color w:val="auto"/>
                <w:sz w:val="24"/>
                <w:highlight w:val="none"/>
              </w:rPr>
            </w:pPr>
            <w:r>
              <w:rPr>
                <w:rFonts w:hint="eastAsia"/>
                <w:b/>
                <w:color w:val="auto"/>
                <w:sz w:val="24"/>
                <w:highlight w:val="none"/>
              </w:rPr>
              <w:t>2、桥梁施工方案：</w:t>
            </w:r>
          </w:p>
          <w:p>
            <w:pPr>
              <w:adjustRightInd w:val="0"/>
              <w:snapToGrid w:val="0"/>
              <w:rPr>
                <w:rFonts w:ascii="宋体" w:hAnsi="宋体"/>
                <w:bCs/>
                <w:color w:val="auto"/>
                <w:szCs w:val="21"/>
                <w:highlight w:val="none"/>
              </w:rPr>
            </w:pPr>
            <w:r>
              <w:rPr>
                <w:color w:val="auto"/>
                <w:highlight w:val="none"/>
              </w:rPr>
              <w:drawing>
                <wp:inline distT="0" distB="0" distL="114300" distR="114300">
                  <wp:extent cx="5041900" cy="3420110"/>
                  <wp:effectExtent l="0" t="0" r="6350" b="8890"/>
                  <wp:docPr id="1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9"/>
                          <pic:cNvPicPr>
                            <a:picLocks noChangeAspect="1"/>
                          </pic:cNvPicPr>
                        </pic:nvPicPr>
                        <pic:blipFill>
                          <a:blip r:embed="rId24" cstate="print"/>
                          <a:stretch>
                            <a:fillRect/>
                          </a:stretch>
                        </pic:blipFill>
                        <pic:spPr>
                          <a:xfrm>
                            <a:off x="0" y="0"/>
                            <a:ext cx="5041900" cy="3420110"/>
                          </a:xfrm>
                          <a:prstGeom prst="rect">
                            <a:avLst/>
                          </a:prstGeom>
                          <a:noFill/>
                          <a:ln>
                            <a:noFill/>
                          </a:ln>
                        </pic:spPr>
                      </pic:pic>
                    </a:graphicData>
                  </a:graphic>
                </wp:inline>
              </w:drawing>
            </w:r>
          </w:p>
          <w:p>
            <w:pPr>
              <w:adjustRightInd w:val="0"/>
              <w:snapToGrid w:val="0"/>
              <w:spacing w:line="400" w:lineRule="exact"/>
              <w:jc w:val="center"/>
              <w:rPr>
                <w:b/>
                <w:color w:val="auto"/>
                <w:szCs w:val="21"/>
                <w:highlight w:val="none"/>
              </w:rPr>
            </w:pPr>
            <w:r>
              <w:rPr>
                <w:rFonts w:hint="eastAsia"/>
                <w:b/>
                <w:color w:val="auto"/>
                <w:szCs w:val="21"/>
                <w:highlight w:val="none"/>
              </w:rPr>
              <w:t>图2-16桥梁施工流程图</w:t>
            </w:r>
          </w:p>
          <w:p>
            <w:pPr>
              <w:adjustRightInd w:val="0"/>
              <w:snapToGrid w:val="0"/>
              <w:spacing w:line="360" w:lineRule="auto"/>
              <w:ind w:firstLine="482" w:firstLineChars="200"/>
              <w:rPr>
                <w:b/>
                <w:color w:val="auto"/>
                <w:sz w:val="24"/>
                <w:highlight w:val="none"/>
                <w:lang w:val="zh-CN"/>
              </w:rPr>
            </w:pPr>
            <w:r>
              <w:rPr>
                <w:b/>
                <w:color w:val="auto"/>
                <w:sz w:val="24"/>
                <w:highlight w:val="none"/>
                <w:lang w:val="zh-CN"/>
              </w:rPr>
              <w:t>桥梁施工说明：</w:t>
            </w:r>
          </w:p>
          <w:p>
            <w:pPr>
              <w:adjustRightInd w:val="0"/>
              <w:snapToGrid w:val="0"/>
              <w:spacing w:line="360" w:lineRule="auto"/>
              <w:ind w:firstLine="480" w:firstLineChars="200"/>
              <w:rPr>
                <w:bCs/>
                <w:color w:val="auto"/>
                <w:sz w:val="24"/>
                <w:highlight w:val="none"/>
                <w:lang w:val="zh-CN"/>
              </w:rPr>
            </w:pPr>
            <w:r>
              <w:rPr>
                <w:bCs/>
                <w:color w:val="auto"/>
                <w:sz w:val="24"/>
                <w:highlight w:val="none"/>
                <w:lang w:val="zh-CN"/>
              </w:rPr>
              <w:t>桥梁经前期勘察、工程施工设计后，路基和路面进行施工，产生设备噪声、固废和废气。桥梁结构、桥面施工时产生废气、噪声、废水、固废。桥面施工完成后需建设配套附属工程，产生噪声、废水、固废。建成后验收，产生扬噪声、扬尘、汽车尾气。</w:t>
            </w:r>
          </w:p>
          <w:p>
            <w:pPr>
              <w:adjustRightInd w:val="0"/>
              <w:snapToGrid w:val="0"/>
              <w:spacing w:line="360" w:lineRule="auto"/>
              <w:ind w:firstLine="480" w:firstLineChars="200"/>
              <w:rPr>
                <w:bCs/>
                <w:color w:val="auto"/>
                <w:sz w:val="24"/>
                <w:highlight w:val="none"/>
              </w:rPr>
            </w:pPr>
            <w:r>
              <w:rPr>
                <w:rFonts w:hint="eastAsia"/>
                <w:bCs/>
                <w:color w:val="auto"/>
                <w:sz w:val="24"/>
                <w:highlight w:val="none"/>
              </w:rPr>
              <w:t>本工程桥梁建设范围：新建桥梁采用2×25+35+2×25m预制简支梁桥，与河道正交，全桥宽32m。桥梁上部结构采用25m 预制预应力板梁+35m 预制预应力小箱梁。下部结构为重力式桥台，桩柱式桥墩，墩台均为钻孔桩基础。西侧按规划新建的驳岸为重力式驳岸。</w:t>
            </w:r>
          </w:p>
          <w:p>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河道驳岸施工采用围堰后开挖施工。桥梁下部结构水中墩采用水上平台施工，岸上墩台则放坡开挖施工。为保证施工期间通航及行洪条件，上部结构采用工程预制后架桥机施工。</w:t>
            </w:r>
          </w:p>
          <w:p>
            <w:pPr>
              <w:adjustRightInd w:val="0"/>
              <w:snapToGrid w:val="0"/>
              <w:spacing w:line="360" w:lineRule="auto"/>
              <w:ind w:firstLine="480" w:firstLineChars="200"/>
              <w:rPr>
                <w:rFonts w:hint="eastAsia"/>
                <w:bCs/>
                <w:color w:val="auto"/>
                <w:sz w:val="24"/>
                <w:highlight w:val="none"/>
              </w:rPr>
            </w:pPr>
          </w:p>
          <w:p>
            <w:pPr>
              <w:adjustRightInd w:val="0"/>
              <w:snapToGrid w:val="0"/>
              <w:spacing w:line="360" w:lineRule="auto"/>
              <w:ind w:firstLine="480" w:firstLineChars="200"/>
              <w:rPr>
                <w:rFonts w:hint="eastAsia"/>
                <w:bCs/>
                <w:color w:val="auto"/>
                <w:sz w:val="24"/>
                <w:highlight w:val="none"/>
              </w:rPr>
            </w:pPr>
          </w:p>
          <w:p>
            <w:pPr>
              <w:adjustRightInd w:val="0"/>
              <w:snapToGrid w:val="0"/>
              <w:spacing w:line="360" w:lineRule="auto"/>
              <w:ind w:firstLine="480" w:firstLineChars="200"/>
              <w:rPr>
                <w:rFonts w:hint="eastAsia"/>
                <w:bCs/>
                <w:color w:val="auto"/>
                <w:sz w:val="24"/>
                <w:highlight w:val="none"/>
              </w:rPr>
            </w:pPr>
          </w:p>
          <w:p>
            <w:pPr>
              <w:adjustRightInd w:val="0"/>
              <w:snapToGrid w:val="0"/>
              <w:spacing w:line="400" w:lineRule="atLeast"/>
              <w:ind w:firstLine="482" w:firstLineChars="200"/>
              <w:rPr>
                <w:rFonts w:ascii="宋体" w:hAnsi="宋体" w:cs="宋体"/>
                <w:b/>
                <w:bCs/>
                <w:color w:val="auto"/>
                <w:highlight w:val="none"/>
              </w:rPr>
            </w:pPr>
            <w:r>
              <w:rPr>
                <w:rFonts w:hint="eastAsia"/>
                <w:b/>
                <w:color w:val="auto"/>
                <w:sz w:val="24"/>
                <w:highlight w:val="none"/>
              </w:rPr>
              <w:t>3、</w:t>
            </w:r>
            <w:r>
              <w:rPr>
                <w:b/>
                <w:bCs/>
                <w:color w:val="auto"/>
                <w:highlight w:val="none"/>
              </w:rPr>
              <w:t>施工便道</w:t>
            </w:r>
            <w:r>
              <w:rPr>
                <w:rFonts w:hint="eastAsia" w:ascii="宋体" w:hAnsi="宋体" w:cs="宋体"/>
                <w:b/>
                <w:bCs/>
                <w:color w:val="auto"/>
                <w:highlight w:val="none"/>
              </w:rPr>
              <w:t>工艺：</w:t>
            </w:r>
          </w:p>
          <w:p>
            <w:pPr>
              <w:pStyle w:val="23"/>
              <w:spacing w:line="360" w:lineRule="auto"/>
              <w:jc w:val="center"/>
              <w:rPr>
                <w:rFonts w:ascii="宋体" w:hAnsi="宋体" w:cs="宋体"/>
                <w:b/>
                <w:bCs/>
                <w:color w:val="auto"/>
                <w:highlight w:val="none"/>
                <w:lang w:val="zh-CN"/>
              </w:rPr>
            </w:pPr>
            <w:r>
              <w:rPr>
                <w:color w:val="auto"/>
                <w:highlight w:val="none"/>
              </w:rPr>
              <w:drawing>
                <wp:inline distT="0" distB="0" distL="114300" distR="114300">
                  <wp:extent cx="3141345" cy="3383915"/>
                  <wp:effectExtent l="0" t="0" r="1905" b="698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5" cstate="print"/>
                          <a:stretch>
                            <a:fillRect/>
                          </a:stretch>
                        </pic:blipFill>
                        <pic:spPr>
                          <a:xfrm>
                            <a:off x="0" y="0"/>
                            <a:ext cx="3141345" cy="3383915"/>
                          </a:xfrm>
                          <a:prstGeom prst="rect">
                            <a:avLst/>
                          </a:prstGeom>
                          <a:noFill/>
                          <a:ln>
                            <a:noFill/>
                          </a:ln>
                        </pic:spPr>
                      </pic:pic>
                    </a:graphicData>
                  </a:graphic>
                </wp:inline>
              </w:drawing>
            </w:r>
          </w:p>
          <w:p>
            <w:pPr>
              <w:adjustRightInd w:val="0"/>
              <w:snapToGrid w:val="0"/>
              <w:spacing w:line="400" w:lineRule="atLeast"/>
              <w:jc w:val="center"/>
              <w:rPr>
                <w:rStyle w:val="22"/>
                <w:b/>
                <w:bCs/>
                <w:color w:val="auto"/>
                <w:kern w:val="0"/>
                <w:highlight w:val="none"/>
              </w:rPr>
            </w:pPr>
            <w:r>
              <w:rPr>
                <w:rStyle w:val="22"/>
                <w:b/>
                <w:bCs/>
                <w:color w:val="auto"/>
                <w:kern w:val="0"/>
                <w:highlight w:val="none"/>
              </w:rPr>
              <w:t xml:space="preserve">图2-19 </w:t>
            </w:r>
            <w:r>
              <w:rPr>
                <w:rStyle w:val="22"/>
                <w:rFonts w:hint="eastAsia"/>
                <w:b/>
                <w:bCs/>
                <w:color w:val="auto"/>
                <w:kern w:val="0"/>
                <w:highlight w:val="none"/>
              </w:rPr>
              <w:t>施工便道</w:t>
            </w:r>
            <w:r>
              <w:rPr>
                <w:rStyle w:val="22"/>
                <w:b/>
                <w:bCs/>
                <w:color w:val="auto"/>
                <w:kern w:val="0"/>
                <w:highlight w:val="none"/>
              </w:rPr>
              <w:t>流程图</w:t>
            </w:r>
          </w:p>
          <w:p>
            <w:pPr>
              <w:adjustRightInd w:val="0"/>
              <w:snapToGrid w:val="0"/>
              <w:spacing w:line="360" w:lineRule="auto"/>
              <w:ind w:firstLine="482" w:firstLineChars="200"/>
              <w:rPr>
                <w:b/>
                <w:bCs/>
                <w:color w:val="auto"/>
                <w:sz w:val="24"/>
                <w:highlight w:val="none"/>
              </w:rPr>
            </w:pPr>
            <w:r>
              <w:rPr>
                <w:rFonts w:hint="eastAsia"/>
                <w:b/>
                <w:bCs/>
                <w:color w:val="auto"/>
                <w:sz w:val="24"/>
                <w:highlight w:val="none"/>
              </w:rPr>
              <w:t>施工便道施工说明：</w:t>
            </w:r>
          </w:p>
          <w:p>
            <w:pPr>
              <w:wordWrap w:val="0"/>
              <w:spacing w:line="360" w:lineRule="auto"/>
              <w:ind w:firstLine="480" w:firstLineChars="200"/>
              <w:outlineLvl w:val="1"/>
              <w:rPr>
                <w:color w:val="auto"/>
                <w:sz w:val="24"/>
                <w:highlight w:val="none"/>
              </w:rPr>
            </w:pPr>
            <w:r>
              <w:rPr>
                <w:rFonts w:hint="eastAsia"/>
                <w:color w:val="auto"/>
                <w:sz w:val="24"/>
                <w:highlight w:val="none"/>
              </w:rPr>
              <w:t xml:space="preserve">土方路堤填筑：土方路堤应水平分层填筑压实，采用机械压实时，分层的最大松铺厚度不应超过 </w:t>
            </w:r>
            <w:r>
              <w:rPr>
                <w:color w:val="auto"/>
                <w:sz w:val="24"/>
                <w:highlight w:val="none"/>
              </w:rPr>
              <w:t>30cm</w:t>
            </w:r>
            <w:r>
              <w:rPr>
                <w:rFonts w:hint="eastAsia"/>
                <w:color w:val="auto"/>
                <w:sz w:val="24"/>
                <w:highlight w:val="none"/>
              </w:rPr>
              <w:t xml:space="preserve">。填筑至路床顶面最后一层的最小压实厚度，不应小于 </w:t>
            </w:r>
            <w:r>
              <w:rPr>
                <w:color w:val="auto"/>
                <w:sz w:val="24"/>
                <w:highlight w:val="none"/>
              </w:rPr>
              <w:t>8cm</w:t>
            </w:r>
            <w:r>
              <w:rPr>
                <w:rFonts w:hint="eastAsia"/>
                <w:color w:val="auto"/>
                <w:sz w:val="24"/>
                <w:highlight w:val="none"/>
              </w:rPr>
              <w:t>，用透水性不良的土填筑时，应控制其含水量在最佳含水量±</w:t>
            </w:r>
            <w:r>
              <w:rPr>
                <w:color w:val="auto"/>
                <w:sz w:val="24"/>
                <w:highlight w:val="none"/>
              </w:rPr>
              <w:t>2</w:t>
            </w:r>
            <w:r>
              <w:rPr>
                <w:rFonts w:hint="eastAsia"/>
                <w:color w:val="auto"/>
                <w:sz w:val="24"/>
                <w:highlight w:val="none"/>
              </w:rPr>
              <w:t xml:space="preserve">％之内。不同性质的土应分层填筑，不得混填，每种填料累计总厚度不宜小于 </w:t>
            </w:r>
            <w:r>
              <w:rPr>
                <w:color w:val="auto"/>
                <w:sz w:val="24"/>
                <w:highlight w:val="none"/>
              </w:rPr>
              <w:t>0.5m</w:t>
            </w:r>
            <w:r>
              <w:rPr>
                <w:rFonts w:hint="eastAsia"/>
                <w:color w:val="auto"/>
                <w:sz w:val="24"/>
                <w:highlight w:val="none"/>
              </w:rPr>
              <w:t xml:space="preserve">。 </w:t>
            </w:r>
          </w:p>
          <w:p>
            <w:pPr>
              <w:wordWrap w:val="0"/>
              <w:spacing w:line="360" w:lineRule="auto"/>
              <w:ind w:firstLine="480" w:firstLineChars="200"/>
              <w:outlineLvl w:val="1"/>
              <w:rPr>
                <w:color w:val="auto"/>
                <w:sz w:val="24"/>
                <w:highlight w:val="none"/>
              </w:rPr>
            </w:pPr>
            <w:r>
              <w:rPr>
                <w:rFonts w:hint="eastAsia"/>
                <w:color w:val="auto"/>
                <w:sz w:val="24"/>
                <w:highlight w:val="none"/>
              </w:rPr>
              <w:t xml:space="preserve">土石路堤填筑：土石路堤不得采用倾填方法，均应分层填筑，分层压实，分层松铺厚度不宜大于 </w:t>
            </w:r>
            <w:r>
              <w:rPr>
                <w:color w:val="auto"/>
                <w:sz w:val="24"/>
                <w:highlight w:val="none"/>
              </w:rPr>
              <w:t>40cm</w:t>
            </w:r>
            <w:r>
              <w:rPr>
                <w:rFonts w:hint="eastAsia"/>
                <w:color w:val="auto"/>
                <w:sz w:val="24"/>
                <w:highlight w:val="none"/>
              </w:rPr>
              <w:t xml:space="preserve">。填筑应分层、分段填筑，不宜纵向分幅填筑。土石混合填料中，当石料含量超过 </w:t>
            </w:r>
            <w:r>
              <w:rPr>
                <w:color w:val="auto"/>
                <w:sz w:val="24"/>
                <w:highlight w:val="none"/>
              </w:rPr>
              <w:t>70%</w:t>
            </w:r>
            <w:r>
              <w:rPr>
                <w:rFonts w:hint="eastAsia"/>
                <w:color w:val="auto"/>
                <w:sz w:val="24"/>
                <w:highlight w:val="none"/>
              </w:rPr>
              <w:t>时，应先铺填大块石料，且大面向下，放置平稳，再铺小块石料、石碴或石屑嵌缝找平，然后碾压；当石料含量小于</w:t>
            </w:r>
            <w:r>
              <w:rPr>
                <w:color w:val="auto"/>
                <w:sz w:val="24"/>
                <w:highlight w:val="none"/>
              </w:rPr>
              <w:t>70%</w:t>
            </w:r>
            <w:r>
              <w:rPr>
                <w:rFonts w:hint="eastAsia"/>
                <w:color w:val="auto"/>
                <w:sz w:val="24"/>
                <w:highlight w:val="none"/>
              </w:rPr>
              <w:t>时，土石可混合铺填，但应避免硬质石块集中。</w:t>
            </w:r>
          </w:p>
          <w:p>
            <w:pPr>
              <w:wordWrap w:val="0"/>
              <w:spacing w:line="360" w:lineRule="auto"/>
              <w:ind w:firstLine="480" w:firstLineChars="200"/>
              <w:outlineLvl w:val="1"/>
              <w:rPr>
                <w:color w:val="auto"/>
                <w:sz w:val="24"/>
                <w:highlight w:val="none"/>
              </w:rPr>
            </w:pPr>
            <w:r>
              <w:rPr>
                <w:rFonts w:hint="eastAsia"/>
                <w:color w:val="auto"/>
                <w:sz w:val="24"/>
                <w:highlight w:val="none"/>
              </w:rPr>
              <w:t>片石铺设：片石层采用挖掘机铺设，应先铺填大块石料，且大面向下，放置平稳，再铺小块石料、石碴或石屑嵌缝找平，个别机械无法填平地段采用人工配合补填。铺设平整后先采用压路机静压</w:t>
            </w:r>
            <w:r>
              <w:rPr>
                <w:color w:val="auto"/>
                <w:sz w:val="24"/>
                <w:highlight w:val="none"/>
              </w:rPr>
              <w:t>1~2</w:t>
            </w:r>
            <w:r>
              <w:rPr>
                <w:rFonts w:hint="eastAsia"/>
                <w:color w:val="auto"/>
                <w:sz w:val="24"/>
                <w:highlight w:val="none"/>
              </w:rPr>
              <w:t>遍，再振动碾压</w:t>
            </w:r>
            <w:r>
              <w:rPr>
                <w:color w:val="auto"/>
                <w:sz w:val="24"/>
                <w:highlight w:val="none"/>
              </w:rPr>
              <w:t>2~3</w:t>
            </w:r>
            <w:r>
              <w:rPr>
                <w:rFonts w:hint="eastAsia"/>
                <w:color w:val="auto"/>
                <w:sz w:val="24"/>
                <w:highlight w:val="none"/>
              </w:rPr>
              <w:t xml:space="preserve">遍，直至压实为止。 </w:t>
            </w:r>
          </w:p>
          <w:p>
            <w:pPr>
              <w:wordWrap w:val="0"/>
              <w:spacing w:line="360" w:lineRule="auto"/>
              <w:ind w:firstLine="480" w:firstLineChars="200"/>
              <w:outlineLvl w:val="1"/>
              <w:rPr>
                <w:color w:val="auto"/>
                <w:sz w:val="24"/>
                <w:highlight w:val="none"/>
              </w:rPr>
            </w:pPr>
            <w:r>
              <w:rPr>
                <w:rFonts w:hint="eastAsia"/>
                <w:color w:val="auto"/>
                <w:sz w:val="24"/>
                <w:highlight w:val="none"/>
              </w:rPr>
              <w:t xml:space="preserve">碎石摊铺：碎石料卸料后，应及时推平。应最大限度使用推土机初平，路宽不能满足推土机操作宽度情况下，使用人工摊平。现场施工人员应根据放线标高及虚铺厚度，用白灰标出明显标志，为推土机指示推平高度，以便推土机按准确高度和横坡推平，为下一步稳压创造良好条件。 </w:t>
            </w:r>
          </w:p>
          <w:p>
            <w:pPr>
              <w:wordWrap w:val="0"/>
              <w:spacing w:line="360" w:lineRule="auto"/>
              <w:ind w:firstLine="480" w:firstLineChars="200"/>
              <w:outlineLvl w:val="1"/>
              <w:rPr>
                <w:color w:val="auto"/>
                <w:sz w:val="24"/>
                <w:highlight w:val="none"/>
              </w:rPr>
            </w:pPr>
            <w:r>
              <w:rPr>
                <w:rFonts w:hint="eastAsia"/>
                <w:color w:val="auto"/>
                <w:sz w:val="24"/>
                <w:highlight w:val="none"/>
              </w:rPr>
              <w:t xml:space="preserve">灌泥浆：碎石层经稳压后，随即进行灌泥浆，灌浆时要浇灌得均匀，并且灌满碎石间的空隙。泥浆的表面应与碎石齐平，碎石的棱角应露出泥浆之上。灌浆时必须使泥浆灌到碎石层的底部，灌浆后一至二小时，当泥浆下沉，空隙中空气溢出后，在未干的碎石层表面上撒石屑嵌缝料，用以填塞碎石层表面的空隙。 </w:t>
            </w:r>
          </w:p>
          <w:p>
            <w:pPr>
              <w:wordWrap w:val="0"/>
              <w:spacing w:line="360" w:lineRule="auto"/>
              <w:ind w:firstLine="480" w:firstLineChars="200"/>
              <w:outlineLvl w:val="1"/>
              <w:rPr>
                <w:color w:val="auto"/>
                <w:sz w:val="24"/>
                <w:highlight w:val="none"/>
              </w:rPr>
            </w:pPr>
            <w:r>
              <w:rPr>
                <w:rFonts w:hint="eastAsia"/>
                <w:color w:val="auto"/>
                <w:sz w:val="24"/>
                <w:highlight w:val="none"/>
              </w:rPr>
              <w:t xml:space="preserve">碾压：灌浆完成后，待路面表面已干但内部泥浆尚处于半湿状态时，应立即用压路机在路基全宽内进行压实，由两侧向中心碾压，先压路边二三遍后逐渐移向中心。从稳定到碾压全过程都应随压随洒水花效果较好。碾压至表面平整，无明显轮迹，压实密度大于或等于设计要求。碾压中局部有“弹软”现象，应立即停止碾压，待翻松晾干或处理后再压，若出现推移应适量洒水，整平压实。 </w:t>
            </w:r>
          </w:p>
          <w:p>
            <w:pPr>
              <w:wordWrap w:val="0"/>
              <w:spacing w:line="360" w:lineRule="auto"/>
              <w:ind w:firstLine="480" w:firstLineChars="200"/>
              <w:outlineLvl w:val="1"/>
              <w:rPr>
                <w:color w:val="auto"/>
                <w:highlight w:val="none"/>
              </w:rPr>
            </w:pPr>
            <w:r>
              <w:rPr>
                <w:rFonts w:hint="eastAsia"/>
                <w:color w:val="auto"/>
                <w:sz w:val="24"/>
                <w:highlight w:val="none"/>
              </w:rPr>
              <w:t>铺封层：碾压结束后，路表常会呈现骨料外露而周围缺少细料的麻面现象，在干燥天气路表容易出现松散。为了防止产生这种缺陷应加铺封面，在面层上浇洒粘土浆一层，用扫把扫匀后，随即铺盖石屑，扫匀后并用轻型压路机碾压</w:t>
            </w:r>
            <w:r>
              <w:rPr>
                <w:color w:val="auto"/>
                <w:sz w:val="24"/>
                <w:highlight w:val="none"/>
              </w:rPr>
              <w:t>3-4</w:t>
            </w:r>
            <w:r>
              <w:rPr>
                <w:rFonts w:hint="eastAsia"/>
                <w:color w:val="auto"/>
                <w:sz w:val="24"/>
                <w:highlight w:val="none"/>
              </w:rPr>
              <w:t>遍，即可开放交通。</w:t>
            </w:r>
          </w:p>
          <w:p>
            <w:pPr>
              <w:adjustRightInd w:val="0"/>
              <w:snapToGrid w:val="0"/>
              <w:spacing w:line="360" w:lineRule="auto"/>
              <w:ind w:left="420"/>
              <w:rPr>
                <w:b/>
                <w:color w:val="auto"/>
                <w:sz w:val="24"/>
                <w:highlight w:val="none"/>
              </w:rPr>
            </w:pPr>
            <w:r>
              <w:rPr>
                <w:rFonts w:hint="eastAsia" w:ascii="宋体" w:hAnsi="宋体" w:cs="宋体"/>
                <w:b/>
                <w:bCs/>
                <w:color w:val="auto"/>
                <w:highlight w:val="none"/>
              </w:rPr>
              <w:t>4、</w:t>
            </w:r>
            <w:r>
              <w:rPr>
                <w:rFonts w:hint="eastAsia"/>
                <w:b/>
                <w:color w:val="auto"/>
                <w:sz w:val="24"/>
                <w:highlight w:val="none"/>
              </w:rPr>
              <w:t>管线工程</w:t>
            </w:r>
          </w:p>
          <w:p>
            <w:pPr>
              <w:pStyle w:val="23"/>
              <w:spacing w:line="360" w:lineRule="auto"/>
              <w:rPr>
                <w:color w:val="auto"/>
                <w:highlight w:val="none"/>
              </w:rPr>
            </w:pPr>
            <w:r>
              <w:rPr>
                <w:color w:val="auto"/>
                <w:highlight w:val="none"/>
              </w:rPr>
              <w:drawing>
                <wp:inline distT="0" distB="0" distL="114300" distR="114300">
                  <wp:extent cx="4688205" cy="3060065"/>
                  <wp:effectExtent l="0" t="0" r="17145" b="6985"/>
                  <wp:docPr id="1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8"/>
                          <pic:cNvPicPr>
                            <a:picLocks noChangeAspect="1"/>
                          </pic:cNvPicPr>
                        </pic:nvPicPr>
                        <pic:blipFill>
                          <a:blip r:embed="rId26" cstate="print"/>
                          <a:stretch>
                            <a:fillRect/>
                          </a:stretch>
                        </pic:blipFill>
                        <pic:spPr>
                          <a:xfrm>
                            <a:off x="0" y="0"/>
                            <a:ext cx="4688205" cy="3060065"/>
                          </a:xfrm>
                          <a:prstGeom prst="rect">
                            <a:avLst/>
                          </a:prstGeom>
                          <a:noFill/>
                          <a:ln>
                            <a:noFill/>
                          </a:ln>
                        </pic:spPr>
                      </pic:pic>
                    </a:graphicData>
                  </a:graphic>
                </wp:inline>
              </w:drawing>
            </w:r>
          </w:p>
          <w:p>
            <w:pPr>
              <w:pStyle w:val="23"/>
              <w:spacing w:line="400" w:lineRule="exact"/>
              <w:jc w:val="center"/>
              <w:rPr>
                <w:b/>
                <w:bCs/>
                <w:color w:val="auto"/>
                <w:sz w:val="21"/>
                <w:szCs w:val="21"/>
                <w:highlight w:val="none"/>
              </w:rPr>
            </w:pPr>
            <w:r>
              <w:rPr>
                <w:rFonts w:hint="eastAsia"/>
                <w:b/>
                <w:bCs/>
                <w:color w:val="auto"/>
                <w:sz w:val="21"/>
                <w:szCs w:val="21"/>
                <w:highlight w:val="none"/>
              </w:rPr>
              <w:t>图2-17 管线工程流程图</w:t>
            </w:r>
          </w:p>
          <w:p>
            <w:pPr>
              <w:adjustRightInd w:val="0"/>
              <w:snapToGrid w:val="0"/>
              <w:spacing w:line="440" w:lineRule="exact"/>
              <w:ind w:firstLine="482" w:firstLineChars="200"/>
              <w:rPr>
                <w:b/>
                <w:color w:val="auto"/>
                <w:sz w:val="24"/>
                <w:highlight w:val="none"/>
                <w:lang w:val="zh-CN"/>
              </w:rPr>
            </w:pPr>
            <w:r>
              <w:rPr>
                <w:rFonts w:hint="eastAsia"/>
                <w:b/>
                <w:color w:val="auto"/>
                <w:sz w:val="24"/>
                <w:highlight w:val="none"/>
              </w:rPr>
              <w:t>管线工程</w:t>
            </w:r>
            <w:r>
              <w:rPr>
                <w:b/>
                <w:color w:val="auto"/>
                <w:sz w:val="24"/>
                <w:highlight w:val="none"/>
                <w:lang w:val="zh-CN"/>
              </w:rPr>
              <w:t>施工说明：</w:t>
            </w:r>
          </w:p>
          <w:p>
            <w:pPr>
              <w:adjustRightInd w:val="0"/>
              <w:snapToGrid w:val="0"/>
              <w:spacing w:line="440" w:lineRule="exact"/>
              <w:ind w:firstLine="480" w:firstLineChars="200"/>
              <w:rPr>
                <w:bCs/>
                <w:color w:val="auto"/>
                <w:sz w:val="24"/>
                <w:highlight w:val="none"/>
              </w:rPr>
            </w:pPr>
            <w:r>
              <w:rPr>
                <w:bCs/>
                <w:color w:val="auto"/>
                <w:sz w:val="24"/>
                <w:highlight w:val="none"/>
              </w:rPr>
              <w:t>管</w:t>
            </w:r>
            <w:r>
              <w:rPr>
                <w:rFonts w:hint="eastAsia"/>
                <w:bCs/>
                <w:color w:val="auto"/>
                <w:sz w:val="24"/>
                <w:highlight w:val="none"/>
              </w:rPr>
              <w:t>道</w:t>
            </w:r>
            <w:r>
              <w:rPr>
                <w:bCs/>
                <w:color w:val="auto"/>
                <w:sz w:val="24"/>
                <w:highlight w:val="none"/>
              </w:rPr>
              <w:t>施工工艺主要包括路面开挖、管道基础施工、管道铺设、进行闭水试验、实验完成后土方回填、场地平整、边坡防护及排水、建筑物构建。在施工前将表土耕作层预先剥离作为土地整治恢复料源，将表土运到指定的临时堆料场堆放，并对其临时堆料场地采取塑料薄膜临时覆盖、四周设临时截流排水沟的防护措施。施工结束后回填表土并回复植被。</w:t>
            </w:r>
          </w:p>
          <w:p>
            <w:pPr>
              <w:pStyle w:val="8"/>
              <w:spacing w:after="0" w:line="440" w:lineRule="exact"/>
              <w:ind w:left="0" w:leftChars="0" w:firstLine="482" w:firstLineChars="200"/>
              <w:rPr>
                <w:rFonts w:ascii="宋体" w:hAnsi="宋体" w:cs="宋体"/>
                <w:b/>
                <w:color w:val="auto"/>
                <w:highlight w:val="none"/>
              </w:rPr>
            </w:pPr>
            <w:r>
              <w:rPr>
                <w:rFonts w:hint="eastAsia"/>
                <w:b/>
                <w:color w:val="auto"/>
                <w:kern w:val="2"/>
                <w:szCs w:val="24"/>
                <w:highlight w:val="none"/>
              </w:rPr>
              <w:t>二、</w:t>
            </w:r>
            <w:r>
              <w:rPr>
                <w:rFonts w:hint="eastAsia" w:ascii="宋体" w:hAnsi="宋体" w:cs="宋体"/>
                <w:b/>
                <w:color w:val="auto"/>
                <w:highlight w:val="none"/>
              </w:rPr>
              <w:t>施工组织及施工安排：</w:t>
            </w:r>
          </w:p>
          <w:p>
            <w:pPr>
              <w:pStyle w:val="8"/>
              <w:spacing w:after="0" w:line="440" w:lineRule="exact"/>
              <w:ind w:left="0" w:leftChars="0" w:firstLine="480" w:firstLineChars="200"/>
              <w:rPr>
                <w:rFonts w:ascii="宋体" w:hAnsi="宋体" w:cs="宋体"/>
                <w:color w:val="auto"/>
                <w:highlight w:val="none"/>
              </w:rPr>
            </w:pPr>
            <w:r>
              <w:rPr>
                <w:rFonts w:hint="eastAsia" w:ascii="宋体" w:hAnsi="宋体" w:cs="宋体"/>
                <w:color w:val="auto"/>
                <w:highlight w:val="none"/>
                <w:lang w:val="zh-CN"/>
              </w:rPr>
              <w:t>（</w:t>
            </w:r>
            <w:r>
              <w:rPr>
                <w:rFonts w:hint="eastAsia" w:ascii="宋体" w:hAnsi="宋体" w:cs="宋体"/>
                <w:color w:val="auto"/>
                <w:highlight w:val="none"/>
              </w:rPr>
              <w:t>1</w:t>
            </w:r>
            <w:r>
              <w:rPr>
                <w:rFonts w:hint="eastAsia" w:ascii="宋体" w:hAnsi="宋体" w:cs="宋体"/>
                <w:color w:val="auto"/>
                <w:highlight w:val="none"/>
                <w:lang w:val="zh-CN"/>
              </w:rPr>
              <w:t>）</w:t>
            </w:r>
            <w:r>
              <w:rPr>
                <w:rFonts w:hint="eastAsia" w:ascii="宋体" w:hAnsi="宋体" w:cs="宋体"/>
                <w:color w:val="auto"/>
                <w:highlight w:val="none"/>
              </w:rPr>
              <w:t>交通组织：本项目所在地与周边现有道路衔接，施工中所需的机具、设备及建材可通过现有道路运输抵达施工现场。</w:t>
            </w:r>
          </w:p>
          <w:p>
            <w:pPr>
              <w:pStyle w:val="8"/>
              <w:spacing w:after="0" w:line="440" w:lineRule="exact"/>
              <w:ind w:left="0" w:leftChars="0" w:firstLine="480" w:firstLineChars="200"/>
              <w:rPr>
                <w:rFonts w:ascii="宋体" w:hAnsi="宋体" w:cs="宋体"/>
                <w:color w:val="auto"/>
                <w:highlight w:val="none"/>
              </w:rPr>
            </w:pPr>
            <w:r>
              <w:rPr>
                <w:rFonts w:hint="eastAsia" w:ascii="宋体" w:hAnsi="宋体" w:cs="宋体"/>
                <w:color w:val="auto"/>
                <w:highlight w:val="none"/>
              </w:rPr>
              <w:t>（2）施工人员：施工期施工人员约为50人。</w:t>
            </w:r>
          </w:p>
          <w:p>
            <w:pPr>
              <w:adjustRightInd w:val="0"/>
              <w:snapToGrid w:val="0"/>
              <w:spacing w:line="440" w:lineRule="exact"/>
              <w:ind w:firstLine="482" w:firstLineChars="200"/>
              <w:rPr>
                <w:color w:val="auto"/>
                <w:sz w:val="24"/>
                <w:highlight w:val="none"/>
              </w:rPr>
            </w:pPr>
            <w:r>
              <w:rPr>
                <w:rFonts w:hint="eastAsia"/>
                <w:b/>
                <w:color w:val="auto"/>
                <w:sz w:val="24"/>
                <w:highlight w:val="none"/>
              </w:rPr>
              <w:t>三</w:t>
            </w:r>
            <w:r>
              <w:rPr>
                <w:b/>
                <w:color w:val="auto"/>
                <w:sz w:val="24"/>
                <w:highlight w:val="none"/>
              </w:rPr>
              <w:t>、施工时序及建设周期</w:t>
            </w:r>
          </w:p>
          <w:p>
            <w:pPr>
              <w:pStyle w:val="4"/>
              <w:spacing w:line="400" w:lineRule="exact"/>
              <w:ind w:firstLine="480"/>
              <w:rPr>
                <w:color w:val="auto"/>
                <w:sz w:val="24"/>
                <w:szCs w:val="24"/>
                <w:highlight w:val="none"/>
              </w:rPr>
            </w:pPr>
            <w:r>
              <w:rPr>
                <w:color w:val="auto"/>
                <w:sz w:val="24"/>
                <w:szCs w:val="24"/>
                <w:highlight w:val="none"/>
              </w:rPr>
              <w:t>在2024 年</w:t>
            </w:r>
            <w:r>
              <w:rPr>
                <w:rFonts w:hint="eastAsia"/>
                <w:color w:val="auto"/>
                <w:sz w:val="24"/>
                <w:szCs w:val="24"/>
                <w:highlight w:val="none"/>
              </w:rPr>
              <w:t>7</w:t>
            </w:r>
            <w:r>
              <w:rPr>
                <w:color w:val="auto"/>
                <w:sz w:val="24"/>
                <w:szCs w:val="24"/>
                <w:highlight w:val="none"/>
              </w:rPr>
              <w:t>月施工单位进场施工</w:t>
            </w:r>
            <w:r>
              <w:rPr>
                <w:rFonts w:hint="eastAsia"/>
                <w:color w:val="auto"/>
                <w:sz w:val="24"/>
                <w:szCs w:val="24"/>
                <w:highlight w:val="none"/>
              </w:rPr>
              <w:t>；</w:t>
            </w:r>
          </w:p>
          <w:p>
            <w:pPr>
              <w:pStyle w:val="4"/>
              <w:spacing w:line="400" w:lineRule="exact"/>
              <w:ind w:firstLine="480"/>
              <w:rPr>
                <w:color w:val="auto"/>
                <w:highlight w:val="none"/>
              </w:rPr>
            </w:pPr>
            <w:r>
              <w:rPr>
                <w:rFonts w:hint="eastAsia"/>
                <w:color w:val="auto"/>
                <w:sz w:val="24"/>
                <w:szCs w:val="24"/>
                <w:highlight w:val="none"/>
              </w:rPr>
              <w:t>在</w:t>
            </w:r>
            <w:r>
              <w:rPr>
                <w:color w:val="auto"/>
                <w:sz w:val="24"/>
                <w:szCs w:val="24"/>
                <w:highlight w:val="none"/>
              </w:rPr>
              <w:t>2026 年6 月工程竣工。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426" w:type="dxa"/>
            <w:vAlign w:val="center"/>
          </w:tcPr>
          <w:p>
            <w:pPr>
              <w:pStyle w:val="15"/>
              <w:adjustRightInd w:val="0"/>
              <w:snapToGrid w:val="0"/>
              <w:spacing w:before="0" w:beforeAutospacing="0" w:after="0" w:afterAutospacing="0"/>
              <w:jc w:val="center"/>
              <w:rPr>
                <w:color w:val="auto"/>
                <w:sz w:val="21"/>
                <w:szCs w:val="21"/>
                <w:highlight w:val="none"/>
              </w:rPr>
            </w:pPr>
            <w:r>
              <w:rPr>
                <w:rFonts w:hint="eastAsia"/>
                <w:color w:val="auto"/>
                <w:sz w:val="21"/>
                <w:szCs w:val="21"/>
                <w:highlight w:val="none"/>
              </w:rPr>
              <w:t>其他</w:t>
            </w:r>
          </w:p>
        </w:tc>
        <w:tc>
          <w:tcPr>
            <w:tcW w:w="8634" w:type="dxa"/>
            <w:vAlign w:val="center"/>
          </w:tcPr>
          <w:p>
            <w:pPr>
              <w:adjustRightInd w:val="0"/>
              <w:snapToGrid w:val="0"/>
              <w:spacing w:line="400" w:lineRule="atLeast"/>
              <w:jc w:val="center"/>
              <w:rPr>
                <w:color w:val="auto"/>
                <w:highlight w:val="none"/>
              </w:rPr>
            </w:pPr>
            <w:r>
              <w:rPr>
                <w:rFonts w:hint="eastAsia"/>
                <w:color w:val="auto"/>
                <w:highlight w:val="none"/>
              </w:rPr>
              <w:t>无</w:t>
            </w:r>
          </w:p>
        </w:tc>
      </w:tr>
    </w:tbl>
    <w:p>
      <w:pPr>
        <w:pStyle w:val="15"/>
        <w:jc w:val="both"/>
        <w:rPr>
          <w:rFonts w:ascii="黑体" w:hAnsi="黑体" w:eastAsia="黑体"/>
          <w:snapToGrid w:val="0"/>
          <w:color w:val="auto"/>
          <w:sz w:val="36"/>
          <w:szCs w:val="36"/>
          <w:highlight w:val="none"/>
        </w:rPr>
        <w:sectPr>
          <w:pgSz w:w="11906" w:h="16838"/>
          <w:pgMar w:top="1701" w:right="1531" w:bottom="1701" w:left="1531" w:header="851" w:footer="851" w:gutter="0"/>
          <w:cols w:space="720" w:num="1"/>
          <w:docGrid w:linePitch="312" w:charSpace="0"/>
        </w:sectPr>
      </w:pPr>
    </w:p>
    <w:p>
      <w:pPr>
        <w:pStyle w:val="15"/>
        <w:adjustRightInd w:val="0"/>
        <w:snapToGrid w:val="0"/>
        <w:spacing w:before="0" w:beforeAutospacing="0" w:after="0" w:afterAutospacing="0" w:line="14" w:lineRule="auto"/>
        <w:jc w:val="center"/>
        <w:rPr>
          <w:rFonts w:ascii="黑体" w:hAnsi="黑体" w:eastAsia="黑体"/>
          <w:snapToGrid w:val="0"/>
          <w:color w:val="auto"/>
          <w:sz w:val="30"/>
          <w:szCs w:val="30"/>
          <w:highlight w:val="none"/>
        </w:rPr>
      </w:pPr>
    </w:p>
    <w:p>
      <w:pPr>
        <w:pStyle w:val="15"/>
        <w:jc w:val="center"/>
        <w:outlineLvl w:val="0"/>
        <w:rPr>
          <w:rFonts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t>三、</w:t>
      </w:r>
      <w:r>
        <w:rPr>
          <w:rFonts w:ascii="Times New Roman" w:hAnsi="Times New Roman" w:eastAsia="黑体"/>
          <w:snapToGrid w:val="0"/>
          <w:color w:val="auto"/>
          <w:sz w:val="30"/>
          <w:szCs w:val="30"/>
          <w:highlight w:val="none"/>
        </w:rPr>
        <w:t>生态环境现状、保护目标及评价标准</w:t>
      </w:r>
      <w:bookmarkEnd w:id="3"/>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1"/>
        <w:gridCol w:w="80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911" w:type="dxa"/>
            <w:vAlign w:val="center"/>
          </w:tcPr>
          <w:p>
            <w:pPr>
              <w:adjustRightInd w:val="0"/>
              <w:snapToGrid w:val="0"/>
              <w:jc w:val="center"/>
              <w:rPr>
                <w:rFonts w:ascii="宋体" w:hAnsi="宋体" w:cs="宋体"/>
                <w:color w:val="auto"/>
                <w:kern w:val="0"/>
                <w:sz w:val="24"/>
                <w:highlight w:val="none"/>
              </w:rPr>
            </w:pPr>
            <w:r>
              <w:rPr>
                <w:color w:val="auto"/>
                <w:kern w:val="0"/>
                <w:sz w:val="24"/>
                <w:highlight w:val="none"/>
              </w:rPr>
              <w:t>生态环境现状</w:t>
            </w:r>
          </w:p>
        </w:tc>
        <w:tc>
          <w:tcPr>
            <w:tcW w:w="8079" w:type="dxa"/>
          </w:tcPr>
          <w:p>
            <w:pPr>
              <w:pStyle w:val="23"/>
              <w:spacing w:line="360" w:lineRule="auto"/>
              <w:ind w:firstLine="482" w:firstLineChars="200"/>
              <w:rPr>
                <w:b/>
                <w:bCs/>
                <w:color w:val="auto"/>
                <w:highlight w:val="none"/>
              </w:rPr>
            </w:pPr>
            <w:r>
              <w:rPr>
                <w:b/>
                <w:bCs/>
                <w:color w:val="auto"/>
                <w:highlight w:val="none"/>
              </w:rPr>
              <w:t>1、环境空气质量</w:t>
            </w:r>
          </w:p>
          <w:p>
            <w:pPr>
              <w:spacing w:line="360" w:lineRule="auto"/>
              <w:ind w:firstLine="480" w:firstLineChars="200"/>
              <w:rPr>
                <w:bCs/>
                <w:color w:val="auto"/>
                <w:sz w:val="24"/>
                <w:highlight w:val="none"/>
              </w:rPr>
            </w:pPr>
            <w:r>
              <w:rPr>
                <w:rFonts w:hint="eastAsia"/>
                <w:bCs/>
                <w:color w:val="auto"/>
                <w:sz w:val="24"/>
                <w:highlight w:val="none"/>
              </w:rPr>
              <w:t>根据《2023年园区生态环境质量公报》：202</w:t>
            </w:r>
            <w:r>
              <w:rPr>
                <w:rFonts w:hint="eastAsia"/>
                <w:bCs/>
                <w:color w:val="auto"/>
                <w:sz w:val="24"/>
                <w:highlight w:val="none"/>
                <w:lang w:val="en-US" w:eastAsia="zh-CN"/>
              </w:rPr>
              <w:t>3</w:t>
            </w:r>
            <w:r>
              <w:rPr>
                <w:rFonts w:hint="eastAsia"/>
                <w:bCs/>
                <w:color w:val="auto"/>
                <w:sz w:val="24"/>
                <w:highlight w:val="none"/>
              </w:rPr>
              <w:t>年苏州工业园区O</w:t>
            </w:r>
            <w:r>
              <w:rPr>
                <w:rFonts w:hint="eastAsia"/>
                <w:bCs/>
                <w:color w:val="auto"/>
                <w:sz w:val="24"/>
                <w:highlight w:val="none"/>
                <w:vertAlign w:val="subscript"/>
              </w:rPr>
              <w:t>3</w:t>
            </w:r>
            <w:r>
              <w:rPr>
                <w:rFonts w:hint="eastAsia"/>
                <w:bCs/>
                <w:color w:val="auto"/>
                <w:sz w:val="24"/>
                <w:highlight w:val="none"/>
              </w:rPr>
              <w:t>超标，PM</w:t>
            </w:r>
            <w:r>
              <w:rPr>
                <w:rFonts w:hint="eastAsia"/>
                <w:bCs/>
                <w:color w:val="auto"/>
                <w:sz w:val="24"/>
                <w:highlight w:val="none"/>
                <w:vertAlign w:val="subscript"/>
              </w:rPr>
              <w:t>2.5</w:t>
            </w:r>
            <w:r>
              <w:rPr>
                <w:rFonts w:hint="eastAsia"/>
                <w:bCs/>
                <w:color w:val="auto"/>
                <w:sz w:val="24"/>
                <w:highlight w:val="none"/>
              </w:rPr>
              <w:t>、PM</w:t>
            </w:r>
            <w:r>
              <w:rPr>
                <w:rFonts w:hint="eastAsia"/>
                <w:bCs/>
                <w:color w:val="auto"/>
                <w:sz w:val="24"/>
                <w:highlight w:val="none"/>
                <w:vertAlign w:val="subscript"/>
              </w:rPr>
              <w:t>10</w:t>
            </w:r>
            <w:r>
              <w:rPr>
                <w:rFonts w:hint="eastAsia"/>
                <w:bCs/>
                <w:color w:val="auto"/>
                <w:sz w:val="24"/>
                <w:highlight w:val="none"/>
              </w:rPr>
              <w:t>、SO</w:t>
            </w:r>
            <w:r>
              <w:rPr>
                <w:rFonts w:hint="eastAsia"/>
                <w:bCs/>
                <w:color w:val="auto"/>
                <w:sz w:val="24"/>
                <w:highlight w:val="none"/>
                <w:vertAlign w:val="subscript"/>
              </w:rPr>
              <w:t>2</w:t>
            </w:r>
            <w:r>
              <w:rPr>
                <w:rFonts w:hint="eastAsia"/>
                <w:bCs/>
                <w:color w:val="auto"/>
                <w:sz w:val="24"/>
                <w:highlight w:val="none"/>
              </w:rPr>
              <w:t>、NO</w:t>
            </w:r>
            <w:r>
              <w:rPr>
                <w:rFonts w:hint="eastAsia"/>
                <w:bCs/>
                <w:color w:val="auto"/>
                <w:sz w:val="24"/>
                <w:highlight w:val="none"/>
                <w:vertAlign w:val="subscript"/>
              </w:rPr>
              <w:t>2</w:t>
            </w:r>
            <w:r>
              <w:rPr>
                <w:rFonts w:hint="eastAsia"/>
                <w:bCs/>
                <w:color w:val="auto"/>
                <w:sz w:val="24"/>
                <w:highlight w:val="none"/>
              </w:rPr>
              <w:t>、CO达标，目前苏州工业园区大气环境质量属于不达标区。环境空气质量达标情况评价指标SO</w:t>
            </w:r>
            <w:r>
              <w:rPr>
                <w:rFonts w:hint="eastAsia"/>
                <w:bCs/>
                <w:color w:val="auto"/>
                <w:sz w:val="24"/>
                <w:highlight w:val="none"/>
                <w:vertAlign w:val="subscript"/>
              </w:rPr>
              <w:t>2</w:t>
            </w:r>
            <w:r>
              <w:rPr>
                <w:rFonts w:hint="eastAsia"/>
                <w:bCs/>
                <w:color w:val="auto"/>
                <w:sz w:val="24"/>
                <w:highlight w:val="none"/>
              </w:rPr>
              <w:t>、NO</w:t>
            </w:r>
            <w:r>
              <w:rPr>
                <w:rFonts w:hint="eastAsia"/>
                <w:bCs/>
                <w:color w:val="auto"/>
                <w:sz w:val="24"/>
                <w:highlight w:val="none"/>
                <w:vertAlign w:val="subscript"/>
              </w:rPr>
              <w:t>2</w:t>
            </w:r>
            <w:r>
              <w:rPr>
                <w:rFonts w:hint="eastAsia"/>
                <w:bCs/>
                <w:color w:val="auto"/>
                <w:sz w:val="24"/>
                <w:highlight w:val="none"/>
              </w:rPr>
              <w:t>、PM</w:t>
            </w:r>
            <w:r>
              <w:rPr>
                <w:rFonts w:hint="eastAsia"/>
                <w:bCs/>
                <w:color w:val="auto"/>
                <w:sz w:val="24"/>
                <w:highlight w:val="none"/>
                <w:vertAlign w:val="subscript"/>
              </w:rPr>
              <w:t>10</w:t>
            </w:r>
            <w:r>
              <w:rPr>
                <w:rFonts w:hint="eastAsia"/>
                <w:bCs/>
                <w:color w:val="auto"/>
                <w:sz w:val="24"/>
                <w:highlight w:val="none"/>
              </w:rPr>
              <w:t>、PM</w:t>
            </w:r>
            <w:r>
              <w:rPr>
                <w:rFonts w:hint="eastAsia"/>
                <w:bCs/>
                <w:color w:val="auto"/>
                <w:sz w:val="24"/>
                <w:highlight w:val="none"/>
                <w:vertAlign w:val="subscript"/>
              </w:rPr>
              <w:t>2.5</w:t>
            </w:r>
            <w:r>
              <w:rPr>
                <w:rFonts w:hint="eastAsia"/>
                <w:bCs/>
                <w:color w:val="auto"/>
                <w:sz w:val="24"/>
                <w:highlight w:val="none"/>
              </w:rPr>
              <w:t>、CO和O</w:t>
            </w:r>
            <w:r>
              <w:rPr>
                <w:rFonts w:hint="eastAsia"/>
                <w:bCs/>
                <w:color w:val="auto"/>
                <w:sz w:val="24"/>
                <w:highlight w:val="none"/>
                <w:vertAlign w:val="subscript"/>
              </w:rPr>
              <w:t>3</w:t>
            </w:r>
            <w:r>
              <w:rPr>
                <w:rFonts w:hint="eastAsia"/>
                <w:bCs/>
                <w:color w:val="auto"/>
                <w:sz w:val="24"/>
                <w:highlight w:val="none"/>
              </w:rPr>
              <w:t>六项污染物具体现状结果见表3-1。</w:t>
            </w:r>
          </w:p>
          <w:p>
            <w:pPr>
              <w:pStyle w:val="9"/>
              <w:jc w:val="center"/>
              <w:rPr>
                <w:rFonts w:ascii="Times New Roman" w:hAnsi="Times New Roman"/>
                <w:b/>
                <w:bCs/>
                <w:color w:val="auto"/>
                <w:szCs w:val="21"/>
                <w:highlight w:val="none"/>
              </w:rPr>
            </w:pPr>
            <w:r>
              <w:rPr>
                <w:rFonts w:ascii="Times New Roman" w:hAnsi="Times New Roman"/>
                <w:b/>
                <w:bCs/>
                <w:color w:val="auto"/>
                <w:szCs w:val="21"/>
                <w:highlight w:val="none"/>
              </w:rPr>
              <w:t>表 3-1  大气环境质量现状（CO为mg/m</w:t>
            </w:r>
            <w:r>
              <w:rPr>
                <w:rFonts w:ascii="Times New Roman" w:hAnsi="Times New Roman"/>
                <w:b/>
                <w:bCs/>
                <w:color w:val="auto"/>
                <w:szCs w:val="21"/>
                <w:highlight w:val="none"/>
                <w:vertAlign w:val="superscript"/>
              </w:rPr>
              <w:t>3</w:t>
            </w:r>
            <w:r>
              <w:rPr>
                <w:rFonts w:ascii="Times New Roman" w:hAnsi="Times New Roman"/>
                <w:b/>
                <w:bCs/>
                <w:color w:val="auto"/>
                <w:szCs w:val="21"/>
                <w:highlight w:val="none"/>
              </w:rPr>
              <w:t>，其余均为ug/m</w:t>
            </w:r>
            <w:r>
              <w:rPr>
                <w:rFonts w:ascii="Times New Roman" w:hAnsi="Times New Roman"/>
                <w:b/>
                <w:bCs/>
                <w:color w:val="auto"/>
                <w:szCs w:val="21"/>
                <w:highlight w:val="none"/>
                <w:vertAlign w:val="superscript"/>
              </w:rPr>
              <w:t>3</w:t>
            </w:r>
            <w:r>
              <w:rPr>
                <w:rFonts w:ascii="Times New Roman" w:hAnsi="Times New Roman"/>
                <w:b/>
                <w:bCs/>
                <w:color w:val="auto"/>
                <w:szCs w:val="21"/>
                <w:highlight w:val="none"/>
              </w:rPr>
              <w:t>）</w:t>
            </w:r>
          </w:p>
          <w:tbl>
            <w:tblPr>
              <w:tblStyle w:val="18"/>
              <w:tblW w:w="7876" w:type="dxa"/>
              <w:tblInd w:w="0" w:type="dxa"/>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849"/>
              <w:gridCol w:w="3221"/>
              <w:gridCol w:w="1083"/>
              <w:gridCol w:w="1083"/>
              <w:gridCol w:w="951"/>
              <w:gridCol w:w="689"/>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517" w:hRule="atLeast"/>
              </w:trPr>
              <w:tc>
                <w:tcPr>
                  <w:tcW w:w="849" w:type="dxa"/>
                  <w:tcBorders>
                    <w:tl2br w:val="nil"/>
                    <w:tr2bl w:val="nil"/>
                  </w:tcBorders>
                  <w:shd w:val="clear" w:color="auto" w:fill="auto"/>
                  <w:vAlign w:val="center"/>
                </w:tcPr>
                <w:p>
                  <w:pPr>
                    <w:jc w:val="center"/>
                    <w:rPr>
                      <w:b/>
                      <w:bCs/>
                      <w:color w:val="auto"/>
                      <w:highlight w:val="none"/>
                    </w:rPr>
                  </w:pPr>
                  <w:r>
                    <w:rPr>
                      <w:b/>
                      <w:bCs/>
                      <w:color w:val="auto"/>
                      <w:highlight w:val="none"/>
                    </w:rPr>
                    <w:t>污染物</w:t>
                  </w:r>
                </w:p>
              </w:tc>
              <w:tc>
                <w:tcPr>
                  <w:tcW w:w="3221" w:type="dxa"/>
                  <w:tcBorders>
                    <w:tl2br w:val="nil"/>
                    <w:tr2bl w:val="nil"/>
                  </w:tcBorders>
                  <w:shd w:val="clear" w:color="auto" w:fill="auto"/>
                  <w:vAlign w:val="center"/>
                </w:tcPr>
                <w:p>
                  <w:pPr>
                    <w:jc w:val="center"/>
                    <w:rPr>
                      <w:b/>
                      <w:bCs/>
                      <w:color w:val="auto"/>
                      <w:highlight w:val="none"/>
                    </w:rPr>
                  </w:pPr>
                  <w:r>
                    <w:rPr>
                      <w:b/>
                      <w:bCs/>
                      <w:color w:val="auto"/>
                      <w:highlight w:val="none"/>
                    </w:rPr>
                    <w:t>年评价指标</w:t>
                  </w:r>
                </w:p>
              </w:tc>
              <w:tc>
                <w:tcPr>
                  <w:tcW w:w="1083" w:type="dxa"/>
                  <w:tcBorders>
                    <w:tl2br w:val="nil"/>
                    <w:tr2bl w:val="nil"/>
                  </w:tcBorders>
                  <w:shd w:val="clear" w:color="auto" w:fill="auto"/>
                  <w:vAlign w:val="center"/>
                </w:tcPr>
                <w:p>
                  <w:pPr>
                    <w:jc w:val="center"/>
                    <w:rPr>
                      <w:b/>
                      <w:bCs/>
                      <w:color w:val="auto"/>
                      <w:highlight w:val="none"/>
                    </w:rPr>
                  </w:pPr>
                  <w:r>
                    <w:rPr>
                      <w:b/>
                      <w:bCs/>
                      <w:color w:val="auto"/>
                      <w:highlight w:val="none"/>
                    </w:rPr>
                    <w:t>现状浓度/（μg/m</w:t>
                  </w:r>
                  <w:r>
                    <w:rPr>
                      <w:b/>
                      <w:bCs/>
                      <w:color w:val="auto"/>
                      <w:highlight w:val="none"/>
                      <w:vertAlign w:val="superscript"/>
                    </w:rPr>
                    <w:t>3</w:t>
                  </w:r>
                  <w:r>
                    <w:rPr>
                      <w:b/>
                      <w:bCs/>
                      <w:color w:val="auto"/>
                      <w:highlight w:val="none"/>
                    </w:rPr>
                    <w:t>）</w:t>
                  </w:r>
                </w:p>
              </w:tc>
              <w:tc>
                <w:tcPr>
                  <w:tcW w:w="1083" w:type="dxa"/>
                  <w:tcBorders>
                    <w:tl2br w:val="nil"/>
                    <w:tr2bl w:val="nil"/>
                  </w:tcBorders>
                  <w:shd w:val="clear" w:color="auto" w:fill="auto"/>
                  <w:vAlign w:val="center"/>
                </w:tcPr>
                <w:p>
                  <w:pPr>
                    <w:jc w:val="center"/>
                    <w:rPr>
                      <w:b/>
                      <w:bCs/>
                      <w:color w:val="auto"/>
                      <w:highlight w:val="none"/>
                    </w:rPr>
                  </w:pPr>
                  <w:r>
                    <w:rPr>
                      <w:b/>
                      <w:bCs/>
                      <w:color w:val="auto"/>
                      <w:highlight w:val="none"/>
                    </w:rPr>
                    <w:t>标准值/（μg/m</w:t>
                  </w:r>
                  <w:r>
                    <w:rPr>
                      <w:b/>
                      <w:bCs/>
                      <w:color w:val="auto"/>
                      <w:highlight w:val="none"/>
                      <w:vertAlign w:val="superscript"/>
                    </w:rPr>
                    <w:t>3</w:t>
                  </w:r>
                  <w:r>
                    <w:rPr>
                      <w:b/>
                      <w:bCs/>
                      <w:color w:val="auto"/>
                      <w:highlight w:val="none"/>
                    </w:rPr>
                    <w:t>）</w:t>
                  </w:r>
                </w:p>
              </w:tc>
              <w:tc>
                <w:tcPr>
                  <w:tcW w:w="951" w:type="dxa"/>
                  <w:tcBorders>
                    <w:tl2br w:val="nil"/>
                    <w:tr2bl w:val="nil"/>
                  </w:tcBorders>
                  <w:shd w:val="clear" w:color="auto" w:fill="auto"/>
                  <w:vAlign w:val="center"/>
                </w:tcPr>
                <w:p>
                  <w:pPr>
                    <w:jc w:val="center"/>
                    <w:rPr>
                      <w:b/>
                      <w:bCs/>
                      <w:color w:val="auto"/>
                      <w:highlight w:val="none"/>
                    </w:rPr>
                  </w:pPr>
                  <w:r>
                    <w:rPr>
                      <w:b/>
                      <w:bCs/>
                      <w:color w:val="auto"/>
                      <w:highlight w:val="none"/>
                    </w:rPr>
                    <w:t>占标率/（%）</w:t>
                  </w:r>
                </w:p>
              </w:tc>
              <w:tc>
                <w:tcPr>
                  <w:tcW w:w="689" w:type="dxa"/>
                  <w:tcBorders>
                    <w:tl2br w:val="nil"/>
                    <w:tr2bl w:val="nil"/>
                  </w:tcBorders>
                  <w:shd w:val="clear" w:color="auto" w:fill="auto"/>
                  <w:vAlign w:val="center"/>
                </w:tcPr>
                <w:p>
                  <w:pPr>
                    <w:jc w:val="center"/>
                    <w:rPr>
                      <w:b/>
                      <w:bCs/>
                      <w:color w:val="auto"/>
                      <w:highlight w:val="none"/>
                    </w:rPr>
                  </w:pPr>
                  <w:r>
                    <w:rPr>
                      <w:b/>
                      <w:bCs/>
                      <w:color w:val="auto"/>
                      <w:highlight w:val="none"/>
                    </w:rPr>
                    <w:t>达标情况</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5" w:hRule="atLeast"/>
              </w:trPr>
              <w:tc>
                <w:tcPr>
                  <w:tcW w:w="849" w:type="dxa"/>
                  <w:tcBorders>
                    <w:tl2br w:val="nil"/>
                    <w:tr2bl w:val="nil"/>
                  </w:tcBorders>
                  <w:shd w:val="clear" w:color="auto" w:fill="auto"/>
                  <w:vAlign w:val="center"/>
                </w:tcPr>
                <w:p>
                  <w:pPr>
                    <w:jc w:val="center"/>
                    <w:rPr>
                      <w:color w:val="auto"/>
                      <w:highlight w:val="none"/>
                    </w:rPr>
                  </w:pPr>
                  <w:r>
                    <w:rPr>
                      <w:color w:val="auto"/>
                      <w:highlight w:val="none"/>
                    </w:rPr>
                    <w:t>PM</w:t>
                  </w:r>
                  <w:r>
                    <w:rPr>
                      <w:color w:val="auto"/>
                      <w:highlight w:val="none"/>
                      <w:vertAlign w:val="subscript"/>
                    </w:rPr>
                    <w:t>2.5</w:t>
                  </w:r>
                </w:p>
              </w:tc>
              <w:tc>
                <w:tcPr>
                  <w:tcW w:w="3221" w:type="dxa"/>
                  <w:tcBorders>
                    <w:tl2br w:val="nil"/>
                    <w:tr2bl w:val="nil"/>
                  </w:tcBorders>
                  <w:shd w:val="clear" w:color="auto" w:fill="auto"/>
                  <w:vAlign w:val="center"/>
                </w:tcPr>
                <w:p>
                  <w:pPr>
                    <w:jc w:val="center"/>
                    <w:rPr>
                      <w:color w:val="auto"/>
                      <w:highlight w:val="none"/>
                    </w:rPr>
                  </w:pPr>
                  <w:r>
                    <w:rPr>
                      <w:color w:val="auto"/>
                      <w:highlight w:val="none"/>
                    </w:rPr>
                    <w:t>年平均质量浓度</w:t>
                  </w:r>
                </w:p>
              </w:tc>
              <w:tc>
                <w:tcPr>
                  <w:tcW w:w="1083" w:type="dxa"/>
                  <w:tcBorders>
                    <w:tl2br w:val="nil"/>
                    <w:tr2bl w:val="nil"/>
                  </w:tcBorders>
                  <w:shd w:val="clear" w:color="auto" w:fill="auto"/>
                  <w:vAlign w:val="center"/>
                </w:tcPr>
                <w:p>
                  <w:pPr>
                    <w:jc w:val="center"/>
                    <w:rPr>
                      <w:rFonts w:hint="default" w:eastAsia="宋体"/>
                      <w:color w:val="auto"/>
                      <w:highlight w:val="none"/>
                      <w:lang w:val="en-US" w:eastAsia="zh-CN"/>
                    </w:rPr>
                  </w:pPr>
                  <w:r>
                    <w:rPr>
                      <w:rFonts w:hint="eastAsia"/>
                      <w:color w:val="auto"/>
                      <w:highlight w:val="none"/>
                      <w:lang w:val="en-US" w:eastAsia="zh-CN"/>
                    </w:rPr>
                    <w:t>30</w:t>
                  </w:r>
                </w:p>
              </w:tc>
              <w:tc>
                <w:tcPr>
                  <w:tcW w:w="1083" w:type="dxa"/>
                  <w:tcBorders>
                    <w:tl2br w:val="nil"/>
                    <w:tr2bl w:val="nil"/>
                  </w:tcBorders>
                  <w:shd w:val="clear" w:color="auto" w:fill="auto"/>
                  <w:vAlign w:val="center"/>
                </w:tcPr>
                <w:p>
                  <w:pPr>
                    <w:jc w:val="center"/>
                    <w:rPr>
                      <w:color w:val="auto"/>
                      <w:highlight w:val="none"/>
                    </w:rPr>
                  </w:pPr>
                  <w:r>
                    <w:rPr>
                      <w:color w:val="auto"/>
                      <w:highlight w:val="none"/>
                    </w:rPr>
                    <w:t>35</w:t>
                  </w:r>
                </w:p>
              </w:tc>
              <w:tc>
                <w:tcPr>
                  <w:tcW w:w="951" w:type="dxa"/>
                  <w:tcBorders>
                    <w:tl2br w:val="nil"/>
                    <w:tr2bl w:val="nil"/>
                  </w:tcBorders>
                  <w:shd w:val="clear" w:color="auto" w:fill="auto"/>
                  <w:vAlign w:val="center"/>
                </w:tcPr>
                <w:p>
                  <w:pPr>
                    <w:jc w:val="center"/>
                    <w:rPr>
                      <w:color w:val="auto"/>
                      <w:highlight w:val="none"/>
                    </w:rPr>
                  </w:pPr>
                  <w:r>
                    <w:rPr>
                      <w:rFonts w:hint="eastAsia"/>
                      <w:color w:val="auto"/>
                      <w:highlight w:val="none"/>
                    </w:rPr>
                    <w:t>74.3</w:t>
                  </w:r>
                </w:p>
              </w:tc>
              <w:tc>
                <w:tcPr>
                  <w:tcW w:w="689" w:type="dxa"/>
                  <w:tcBorders>
                    <w:tl2br w:val="nil"/>
                    <w:tr2bl w:val="nil"/>
                  </w:tcBorders>
                  <w:shd w:val="clear" w:color="auto" w:fill="auto"/>
                  <w:vAlign w:val="center"/>
                </w:tcPr>
                <w:p>
                  <w:pPr>
                    <w:jc w:val="center"/>
                    <w:rPr>
                      <w:color w:val="auto"/>
                      <w:highlight w:val="none"/>
                    </w:rPr>
                  </w:pPr>
                  <w:r>
                    <w:rPr>
                      <w:color w:val="auto"/>
                      <w:highlight w:val="none"/>
                    </w:rPr>
                    <w:t>达标</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5" w:hRule="atLeast"/>
              </w:trPr>
              <w:tc>
                <w:tcPr>
                  <w:tcW w:w="849" w:type="dxa"/>
                  <w:tcBorders>
                    <w:tl2br w:val="nil"/>
                    <w:tr2bl w:val="nil"/>
                  </w:tcBorders>
                  <w:shd w:val="clear" w:color="auto" w:fill="auto"/>
                  <w:vAlign w:val="center"/>
                </w:tcPr>
                <w:p>
                  <w:pPr>
                    <w:jc w:val="center"/>
                    <w:rPr>
                      <w:color w:val="auto"/>
                      <w:highlight w:val="none"/>
                    </w:rPr>
                  </w:pPr>
                  <w:r>
                    <w:rPr>
                      <w:color w:val="auto"/>
                      <w:highlight w:val="none"/>
                    </w:rPr>
                    <w:t>SO</w:t>
                  </w:r>
                  <w:r>
                    <w:rPr>
                      <w:color w:val="auto"/>
                      <w:highlight w:val="none"/>
                      <w:vertAlign w:val="subscript"/>
                    </w:rPr>
                    <w:t>2</w:t>
                  </w:r>
                </w:p>
              </w:tc>
              <w:tc>
                <w:tcPr>
                  <w:tcW w:w="3221" w:type="dxa"/>
                  <w:tcBorders>
                    <w:tl2br w:val="nil"/>
                    <w:tr2bl w:val="nil"/>
                  </w:tcBorders>
                  <w:shd w:val="clear" w:color="auto" w:fill="auto"/>
                  <w:vAlign w:val="center"/>
                </w:tcPr>
                <w:p>
                  <w:pPr>
                    <w:jc w:val="center"/>
                    <w:rPr>
                      <w:color w:val="auto"/>
                      <w:highlight w:val="none"/>
                    </w:rPr>
                  </w:pPr>
                  <w:r>
                    <w:rPr>
                      <w:color w:val="auto"/>
                      <w:highlight w:val="none"/>
                    </w:rPr>
                    <w:t>年平均质量浓度</w:t>
                  </w:r>
                </w:p>
              </w:tc>
              <w:tc>
                <w:tcPr>
                  <w:tcW w:w="1083" w:type="dxa"/>
                  <w:tcBorders>
                    <w:tl2br w:val="nil"/>
                    <w:tr2bl w:val="nil"/>
                  </w:tcBorders>
                  <w:shd w:val="clear" w:color="auto" w:fill="auto"/>
                  <w:vAlign w:val="center"/>
                </w:tcPr>
                <w:p>
                  <w:pPr>
                    <w:jc w:val="center"/>
                    <w:rPr>
                      <w:rFonts w:hint="eastAsia" w:eastAsia="宋体"/>
                      <w:color w:val="auto"/>
                      <w:highlight w:val="none"/>
                      <w:lang w:eastAsia="zh-CN"/>
                    </w:rPr>
                  </w:pPr>
                  <w:r>
                    <w:rPr>
                      <w:rFonts w:hint="eastAsia"/>
                      <w:color w:val="auto"/>
                      <w:highlight w:val="none"/>
                      <w:lang w:val="en-US" w:eastAsia="zh-CN"/>
                    </w:rPr>
                    <w:t>8</w:t>
                  </w:r>
                </w:p>
              </w:tc>
              <w:tc>
                <w:tcPr>
                  <w:tcW w:w="1083" w:type="dxa"/>
                  <w:tcBorders>
                    <w:tl2br w:val="nil"/>
                    <w:tr2bl w:val="nil"/>
                  </w:tcBorders>
                  <w:shd w:val="clear" w:color="auto" w:fill="auto"/>
                  <w:vAlign w:val="center"/>
                </w:tcPr>
                <w:p>
                  <w:pPr>
                    <w:jc w:val="center"/>
                    <w:rPr>
                      <w:color w:val="auto"/>
                      <w:highlight w:val="none"/>
                    </w:rPr>
                  </w:pPr>
                  <w:r>
                    <w:rPr>
                      <w:color w:val="auto"/>
                      <w:highlight w:val="none"/>
                    </w:rPr>
                    <w:t>60</w:t>
                  </w:r>
                </w:p>
              </w:tc>
              <w:tc>
                <w:tcPr>
                  <w:tcW w:w="951" w:type="dxa"/>
                  <w:tcBorders>
                    <w:tl2br w:val="nil"/>
                    <w:tr2bl w:val="nil"/>
                  </w:tcBorders>
                  <w:shd w:val="clear" w:color="auto" w:fill="auto"/>
                  <w:vAlign w:val="center"/>
                </w:tcPr>
                <w:p>
                  <w:pPr>
                    <w:jc w:val="center"/>
                    <w:rPr>
                      <w:color w:val="auto"/>
                      <w:highlight w:val="none"/>
                    </w:rPr>
                  </w:pPr>
                  <w:r>
                    <w:rPr>
                      <w:rFonts w:hint="eastAsia"/>
                      <w:color w:val="auto"/>
                      <w:highlight w:val="none"/>
                    </w:rPr>
                    <w:t>11.7</w:t>
                  </w:r>
                </w:p>
              </w:tc>
              <w:tc>
                <w:tcPr>
                  <w:tcW w:w="689" w:type="dxa"/>
                  <w:tcBorders>
                    <w:tl2br w:val="nil"/>
                    <w:tr2bl w:val="nil"/>
                  </w:tcBorders>
                  <w:shd w:val="clear" w:color="auto" w:fill="auto"/>
                  <w:vAlign w:val="center"/>
                </w:tcPr>
                <w:p>
                  <w:pPr>
                    <w:jc w:val="center"/>
                    <w:rPr>
                      <w:color w:val="auto"/>
                      <w:highlight w:val="none"/>
                    </w:rPr>
                  </w:pPr>
                  <w:r>
                    <w:rPr>
                      <w:color w:val="auto"/>
                      <w:highlight w:val="none"/>
                    </w:rPr>
                    <w:t>达标</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5" w:hRule="atLeast"/>
              </w:trPr>
              <w:tc>
                <w:tcPr>
                  <w:tcW w:w="849" w:type="dxa"/>
                  <w:tcBorders>
                    <w:tl2br w:val="nil"/>
                    <w:tr2bl w:val="nil"/>
                  </w:tcBorders>
                  <w:shd w:val="clear" w:color="auto" w:fill="auto"/>
                  <w:vAlign w:val="center"/>
                </w:tcPr>
                <w:p>
                  <w:pPr>
                    <w:jc w:val="center"/>
                    <w:rPr>
                      <w:color w:val="auto"/>
                      <w:highlight w:val="none"/>
                    </w:rPr>
                  </w:pPr>
                  <w:r>
                    <w:rPr>
                      <w:color w:val="auto"/>
                      <w:highlight w:val="none"/>
                    </w:rPr>
                    <w:t>NO</w:t>
                  </w:r>
                  <w:r>
                    <w:rPr>
                      <w:color w:val="auto"/>
                      <w:highlight w:val="none"/>
                      <w:vertAlign w:val="subscript"/>
                    </w:rPr>
                    <w:t>2</w:t>
                  </w:r>
                </w:p>
              </w:tc>
              <w:tc>
                <w:tcPr>
                  <w:tcW w:w="3221" w:type="dxa"/>
                  <w:tcBorders>
                    <w:tl2br w:val="nil"/>
                    <w:tr2bl w:val="nil"/>
                  </w:tcBorders>
                  <w:shd w:val="clear" w:color="auto" w:fill="auto"/>
                  <w:vAlign w:val="center"/>
                </w:tcPr>
                <w:p>
                  <w:pPr>
                    <w:jc w:val="center"/>
                    <w:rPr>
                      <w:color w:val="auto"/>
                      <w:highlight w:val="none"/>
                    </w:rPr>
                  </w:pPr>
                  <w:r>
                    <w:rPr>
                      <w:color w:val="auto"/>
                      <w:highlight w:val="none"/>
                    </w:rPr>
                    <w:t>年平均质量浓度</w:t>
                  </w:r>
                </w:p>
              </w:tc>
              <w:tc>
                <w:tcPr>
                  <w:tcW w:w="1083" w:type="dxa"/>
                  <w:tcBorders>
                    <w:tl2br w:val="nil"/>
                    <w:tr2bl w:val="nil"/>
                  </w:tcBorders>
                  <w:shd w:val="clear" w:color="auto" w:fill="auto"/>
                  <w:vAlign w:val="center"/>
                </w:tcPr>
                <w:p>
                  <w:pPr>
                    <w:jc w:val="center"/>
                    <w:rPr>
                      <w:rFonts w:hint="default" w:eastAsia="宋体"/>
                      <w:color w:val="auto"/>
                      <w:highlight w:val="none"/>
                      <w:lang w:val="en-US" w:eastAsia="zh-CN"/>
                    </w:rPr>
                  </w:pPr>
                  <w:r>
                    <w:rPr>
                      <w:rFonts w:hint="eastAsia"/>
                      <w:color w:val="auto"/>
                      <w:highlight w:val="none"/>
                      <w:lang w:val="en-US" w:eastAsia="zh-CN"/>
                    </w:rPr>
                    <w:t>28</w:t>
                  </w:r>
                </w:p>
              </w:tc>
              <w:tc>
                <w:tcPr>
                  <w:tcW w:w="1083" w:type="dxa"/>
                  <w:tcBorders>
                    <w:tl2br w:val="nil"/>
                    <w:tr2bl w:val="nil"/>
                  </w:tcBorders>
                  <w:shd w:val="clear" w:color="auto" w:fill="auto"/>
                  <w:vAlign w:val="center"/>
                </w:tcPr>
                <w:p>
                  <w:pPr>
                    <w:jc w:val="center"/>
                    <w:rPr>
                      <w:color w:val="auto"/>
                      <w:highlight w:val="none"/>
                    </w:rPr>
                  </w:pPr>
                  <w:r>
                    <w:rPr>
                      <w:color w:val="auto"/>
                      <w:highlight w:val="none"/>
                    </w:rPr>
                    <w:t>40</w:t>
                  </w:r>
                </w:p>
              </w:tc>
              <w:tc>
                <w:tcPr>
                  <w:tcW w:w="951" w:type="dxa"/>
                  <w:tcBorders>
                    <w:tl2br w:val="nil"/>
                    <w:tr2bl w:val="nil"/>
                  </w:tcBorders>
                  <w:shd w:val="clear" w:color="auto" w:fill="auto"/>
                  <w:vAlign w:val="center"/>
                </w:tcPr>
                <w:p>
                  <w:pPr>
                    <w:jc w:val="center"/>
                    <w:rPr>
                      <w:color w:val="auto"/>
                      <w:highlight w:val="none"/>
                    </w:rPr>
                  </w:pPr>
                  <w:r>
                    <w:rPr>
                      <w:rFonts w:hint="eastAsia"/>
                      <w:color w:val="auto"/>
                      <w:highlight w:val="none"/>
                    </w:rPr>
                    <w:t>85</w:t>
                  </w:r>
                </w:p>
              </w:tc>
              <w:tc>
                <w:tcPr>
                  <w:tcW w:w="689" w:type="dxa"/>
                  <w:tcBorders>
                    <w:tl2br w:val="nil"/>
                    <w:tr2bl w:val="nil"/>
                  </w:tcBorders>
                  <w:shd w:val="clear" w:color="auto" w:fill="auto"/>
                  <w:vAlign w:val="center"/>
                </w:tcPr>
                <w:p>
                  <w:pPr>
                    <w:jc w:val="center"/>
                    <w:rPr>
                      <w:color w:val="auto"/>
                      <w:highlight w:val="none"/>
                    </w:rPr>
                  </w:pPr>
                  <w:r>
                    <w:rPr>
                      <w:color w:val="auto"/>
                      <w:highlight w:val="none"/>
                    </w:rPr>
                    <w:t>达标</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5" w:hRule="atLeast"/>
              </w:trPr>
              <w:tc>
                <w:tcPr>
                  <w:tcW w:w="849" w:type="dxa"/>
                  <w:tcBorders>
                    <w:tl2br w:val="nil"/>
                    <w:tr2bl w:val="nil"/>
                  </w:tcBorders>
                  <w:shd w:val="clear" w:color="auto" w:fill="auto"/>
                  <w:vAlign w:val="center"/>
                </w:tcPr>
                <w:p>
                  <w:pPr>
                    <w:jc w:val="center"/>
                    <w:rPr>
                      <w:color w:val="auto"/>
                      <w:highlight w:val="none"/>
                    </w:rPr>
                  </w:pPr>
                  <w:r>
                    <w:rPr>
                      <w:color w:val="auto"/>
                      <w:highlight w:val="none"/>
                    </w:rPr>
                    <w:t>PM</w:t>
                  </w:r>
                  <w:r>
                    <w:rPr>
                      <w:color w:val="auto"/>
                      <w:highlight w:val="none"/>
                      <w:vertAlign w:val="subscript"/>
                    </w:rPr>
                    <w:t>10</w:t>
                  </w:r>
                </w:p>
              </w:tc>
              <w:tc>
                <w:tcPr>
                  <w:tcW w:w="3221" w:type="dxa"/>
                  <w:tcBorders>
                    <w:tl2br w:val="nil"/>
                    <w:tr2bl w:val="nil"/>
                  </w:tcBorders>
                  <w:shd w:val="clear" w:color="auto" w:fill="auto"/>
                  <w:vAlign w:val="center"/>
                </w:tcPr>
                <w:p>
                  <w:pPr>
                    <w:jc w:val="center"/>
                    <w:rPr>
                      <w:color w:val="auto"/>
                      <w:highlight w:val="none"/>
                    </w:rPr>
                  </w:pPr>
                  <w:r>
                    <w:rPr>
                      <w:color w:val="auto"/>
                      <w:highlight w:val="none"/>
                    </w:rPr>
                    <w:t>年平均质量浓度</w:t>
                  </w:r>
                </w:p>
              </w:tc>
              <w:tc>
                <w:tcPr>
                  <w:tcW w:w="1083" w:type="dxa"/>
                  <w:tcBorders>
                    <w:tl2br w:val="nil"/>
                    <w:tr2bl w:val="nil"/>
                  </w:tcBorders>
                  <w:shd w:val="clear" w:color="auto" w:fill="auto"/>
                  <w:vAlign w:val="center"/>
                </w:tcPr>
                <w:p>
                  <w:pPr>
                    <w:jc w:val="center"/>
                    <w:rPr>
                      <w:rFonts w:hint="default" w:eastAsia="宋体"/>
                      <w:color w:val="auto"/>
                      <w:highlight w:val="none"/>
                      <w:lang w:val="en-US" w:eastAsia="zh-CN"/>
                    </w:rPr>
                  </w:pPr>
                  <w:r>
                    <w:rPr>
                      <w:rFonts w:hint="eastAsia"/>
                      <w:color w:val="auto"/>
                      <w:highlight w:val="none"/>
                      <w:lang w:val="en-US" w:eastAsia="zh-CN"/>
                    </w:rPr>
                    <w:t>51</w:t>
                  </w:r>
                </w:p>
              </w:tc>
              <w:tc>
                <w:tcPr>
                  <w:tcW w:w="1083" w:type="dxa"/>
                  <w:tcBorders>
                    <w:tl2br w:val="nil"/>
                    <w:tr2bl w:val="nil"/>
                  </w:tcBorders>
                  <w:shd w:val="clear" w:color="auto" w:fill="auto"/>
                  <w:vAlign w:val="center"/>
                </w:tcPr>
                <w:p>
                  <w:pPr>
                    <w:jc w:val="center"/>
                    <w:rPr>
                      <w:color w:val="auto"/>
                      <w:highlight w:val="none"/>
                    </w:rPr>
                  </w:pPr>
                  <w:r>
                    <w:rPr>
                      <w:color w:val="auto"/>
                      <w:highlight w:val="none"/>
                    </w:rPr>
                    <w:t>70</w:t>
                  </w:r>
                </w:p>
              </w:tc>
              <w:tc>
                <w:tcPr>
                  <w:tcW w:w="951" w:type="dxa"/>
                  <w:tcBorders>
                    <w:tl2br w:val="nil"/>
                    <w:tr2bl w:val="nil"/>
                  </w:tcBorders>
                  <w:shd w:val="clear" w:color="auto" w:fill="auto"/>
                  <w:vAlign w:val="center"/>
                </w:tcPr>
                <w:p>
                  <w:pPr>
                    <w:jc w:val="center"/>
                    <w:rPr>
                      <w:color w:val="auto"/>
                      <w:highlight w:val="none"/>
                    </w:rPr>
                  </w:pPr>
                  <w:r>
                    <w:rPr>
                      <w:rFonts w:hint="eastAsia"/>
                      <w:color w:val="auto"/>
                      <w:highlight w:val="none"/>
                    </w:rPr>
                    <w:t>64.3</w:t>
                  </w:r>
                </w:p>
              </w:tc>
              <w:tc>
                <w:tcPr>
                  <w:tcW w:w="689" w:type="dxa"/>
                  <w:tcBorders>
                    <w:tl2br w:val="nil"/>
                    <w:tr2bl w:val="nil"/>
                  </w:tcBorders>
                  <w:shd w:val="clear" w:color="auto" w:fill="auto"/>
                  <w:vAlign w:val="center"/>
                </w:tcPr>
                <w:p>
                  <w:pPr>
                    <w:jc w:val="center"/>
                    <w:rPr>
                      <w:color w:val="auto"/>
                      <w:highlight w:val="none"/>
                    </w:rPr>
                  </w:pPr>
                  <w:r>
                    <w:rPr>
                      <w:color w:val="auto"/>
                      <w:highlight w:val="none"/>
                    </w:rPr>
                    <w:t>达标</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5" w:hRule="atLeast"/>
              </w:trPr>
              <w:tc>
                <w:tcPr>
                  <w:tcW w:w="849" w:type="dxa"/>
                  <w:tcBorders>
                    <w:tl2br w:val="nil"/>
                    <w:tr2bl w:val="nil"/>
                  </w:tcBorders>
                  <w:shd w:val="clear" w:color="auto" w:fill="auto"/>
                  <w:vAlign w:val="center"/>
                </w:tcPr>
                <w:p>
                  <w:pPr>
                    <w:jc w:val="center"/>
                    <w:rPr>
                      <w:color w:val="auto"/>
                      <w:highlight w:val="none"/>
                    </w:rPr>
                  </w:pPr>
                  <w:r>
                    <w:rPr>
                      <w:color w:val="auto"/>
                      <w:highlight w:val="none"/>
                    </w:rPr>
                    <w:t>CO</w:t>
                  </w:r>
                </w:p>
              </w:tc>
              <w:tc>
                <w:tcPr>
                  <w:tcW w:w="3221" w:type="dxa"/>
                  <w:tcBorders>
                    <w:tl2br w:val="nil"/>
                    <w:tr2bl w:val="nil"/>
                  </w:tcBorders>
                  <w:shd w:val="clear" w:color="auto" w:fill="auto"/>
                  <w:vAlign w:val="center"/>
                </w:tcPr>
                <w:p>
                  <w:pPr>
                    <w:jc w:val="center"/>
                    <w:rPr>
                      <w:color w:val="auto"/>
                      <w:highlight w:val="none"/>
                    </w:rPr>
                  </w:pPr>
                  <w:r>
                    <w:rPr>
                      <w:color w:val="auto"/>
                      <w:highlight w:val="none"/>
                    </w:rPr>
                    <w:t>日平均第95百分位数</w:t>
                  </w:r>
                </w:p>
              </w:tc>
              <w:tc>
                <w:tcPr>
                  <w:tcW w:w="1083" w:type="dxa"/>
                  <w:tcBorders>
                    <w:tl2br w:val="nil"/>
                    <w:tr2bl w:val="nil"/>
                  </w:tcBorders>
                  <w:shd w:val="clear" w:color="auto" w:fill="auto"/>
                  <w:vAlign w:val="center"/>
                </w:tcPr>
                <w:p>
                  <w:pPr>
                    <w:jc w:val="center"/>
                    <w:rPr>
                      <w:color w:val="auto"/>
                      <w:highlight w:val="none"/>
                    </w:rPr>
                  </w:pPr>
                  <w:r>
                    <w:rPr>
                      <w:rFonts w:hint="eastAsia"/>
                      <w:color w:val="auto"/>
                      <w:highlight w:val="none"/>
                    </w:rPr>
                    <w:t>1.0</w:t>
                  </w:r>
                </w:p>
              </w:tc>
              <w:tc>
                <w:tcPr>
                  <w:tcW w:w="1083" w:type="dxa"/>
                  <w:tcBorders>
                    <w:tl2br w:val="nil"/>
                    <w:tr2bl w:val="nil"/>
                  </w:tcBorders>
                  <w:shd w:val="clear" w:color="auto" w:fill="auto"/>
                  <w:vAlign w:val="center"/>
                </w:tcPr>
                <w:p>
                  <w:pPr>
                    <w:jc w:val="center"/>
                    <w:rPr>
                      <w:color w:val="auto"/>
                      <w:highlight w:val="none"/>
                    </w:rPr>
                  </w:pPr>
                  <w:r>
                    <w:rPr>
                      <w:color w:val="auto"/>
                      <w:highlight w:val="none"/>
                    </w:rPr>
                    <w:t>4</w:t>
                  </w:r>
                </w:p>
              </w:tc>
              <w:tc>
                <w:tcPr>
                  <w:tcW w:w="951" w:type="dxa"/>
                  <w:tcBorders>
                    <w:tl2br w:val="nil"/>
                    <w:tr2bl w:val="nil"/>
                  </w:tcBorders>
                  <w:shd w:val="clear" w:color="auto" w:fill="auto"/>
                  <w:vAlign w:val="center"/>
                </w:tcPr>
                <w:p>
                  <w:pPr>
                    <w:jc w:val="center"/>
                    <w:rPr>
                      <w:color w:val="auto"/>
                      <w:highlight w:val="none"/>
                    </w:rPr>
                  </w:pPr>
                  <w:r>
                    <w:rPr>
                      <w:rFonts w:hint="eastAsia"/>
                      <w:color w:val="auto"/>
                      <w:highlight w:val="none"/>
                    </w:rPr>
                    <w:t>32.5</w:t>
                  </w:r>
                </w:p>
              </w:tc>
              <w:tc>
                <w:tcPr>
                  <w:tcW w:w="689" w:type="dxa"/>
                  <w:tcBorders>
                    <w:tl2br w:val="nil"/>
                    <w:tr2bl w:val="nil"/>
                  </w:tcBorders>
                  <w:shd w:val="clear" w:color="auto" w:fill="auto"/>
                  <w:vAlign w:val="center"/>
                </w:tcPr>
                <w:p>
                  <w:pPr>
                    <w:jc w:val="center"/>
                    <w:rPr>
                      <w:color w:val="auto"/>
                      <w:highlight w:val="none"/>
                    </w:rPr>
                  </w:pPr>
                  <w:r>
                    <w:rPr>
                      <w:color w:val="auto"/>
                      <w:highlight w:val="none"/>
                    </w:rPr>
                    <w:t>达标</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69" w:hRule="atLeast"/>
              </w:trPr>
              <w:tc>
                <w:tcPr>
                  <w:tcW w:w="849" w:type="dxa"/>
                  <w:tcBorders>
                    <w:tl2br w:val="nil"/>
                    <w:tr2bl w:val="nil"/>
                  </w:tcBorders>
                  <w:shd w:val="clear" w:color="auto" w:fill="auto"/>
                  <w:vAlign w:val="center"/>
                </w:tcPr>
                <w:p>
                  <w:pPr>
                    <w:jc w:val="center"/>
                    <w:rPr>
                      <w:color w:val="auto"/>
                      <w:highlight w:val="none"/>
                    </w:rPr>
                  </w:pPr>
                  <w:r>
                    <w:rPr>
                      <w:color w:val="auto"/>
                      <w:highlight w:val="none"/>
                    </w:rPr>
                    <w:t>O</w:t>
                  </w:r>
                  <w:r>
                    <w:rPr>
                      <w:color w:val="auto"/>
                      <w:highlight w:val="none"/>
                      <w:vertAlign w:val="subscript"/>
                    </w:rPr>
                    <w:t>3</w:t>
                  </w:r>
                </w:p>
              </w:tc>
              <w:tc>
                <w:tcPr>
                  <w:tcW w:w="3221" w:type="dxa"/>
                  <w:tcBorders>
                    <w:tl2br w:val="nil"/>
                    <w:tr2bl w:val="nil"/>
                  </w:tcBorders>
                  <w:shd w:val="clear" w:color="auto" w:fill="auto"/>
                  <w:vAlign w:val="center"/>
                </w:tcPr>
                <w:p>
                  <w:pPr>
                    <w:jc w:val="center"/>
                    <w:rPr>
                      <w:color w:val="auto"/>
                      <w:highlight w:val="none"/>
                    </w:rPr>
                  </w:pPr>
                  <w:r>
                    <w:rPr>
                      <w:color w:val="auto"/>
                      <w:highlight w:val="none"/>
                    </w:rPr>
                    <w:t>日最大8小时平均第90百分位数</w:t>
                  </w:r>
                </w:p>
              </w:tc>
              <w:tc>
                <w:tcPr>
                  <w:tcW w:w="1083" w:type="dxa"/>
                  <w:tcBorders>
                    <w:tl2br w:val="nil"/>
                    <w:tr2bl w:val="nil"/>
                  </w:tcBorders>
                  <w:shd w:val="clear" w:color="auto" w:fill="auto"/>
                  <w:vAlign w:val="center"/>
                </w:tcPr>
                <w:p>
                  <w:pPr>
                    <w:jc w:val="center"/>
                    <w:rPr>
                      <w:color w:val="auto"/>
                      <w:highlight w:val="none"/>
                    </w:rPr>
                  </w:pPr>
                  <w:r>
                    <w:rPr>
                      <w:rFonts w:hint="eastAsia"/>
                      <w:color w:val="auto"/>
                      <w:highlight w:val="none"/>
                    </w:rPr>
                    <w:t>170</w:t>
                  </w:r>
                </w:p>
              </w:tc>
              <w:tc>
                <w:tcPr>
                  <w:tcW w:w="1083" w:type="dxa"/>
                  <w:tcBorders>
                    <w:tl2br w:val="nil"/>
                    <w:tr2bl w:val="nil"/>
                  </w:tcBorders>
                  <w:shd w:val="clear" w:color="auto" w:fill="auto"/>
                  <w:vAlign w:val="center"/>
                </w:tcPr>
                <w:p>
                  <w:pPr>
                    <w:jc w:val="center"/>
                    <w:rPr>
                      <w:color w:val="auto"/>
                      <w:highlight w:val="none"/>
                    </w:rPr>
                  </w:pPr>
                  <w:r>
                    <w:rPr>
                      <w:color w:val="auto"/>
                      <w:highlight w:val="none"/>
                    </w:rPr>
                    <w:t>160</w:t>
                  </w:r>
                </w:p>
              </w:tc>
              <w:tc>
                <w:tcPr>
                  <w:tcW w:w="951" w:type="dxa"/>
                  <w:tcBorders>
                    <w:tl2br w:val="nil"/>
                    <w:tr2bl w:val="nil"/>
                  </w:tcBorders>
                  <w:shd w:val="clear" w:color="auto" w:fill="auto"/>
                  <w:vAlign w:val="center"/>
                </w:tcPr>
                <w:p>
                  <w:pPr>
                    <w:jc w:val="center"/>
                    <w:rPr>
                      <w:color w:val="auto"/>
                      <w:highlight w:val="none"/>
                    </w:rPr>
                  </w:pPr>
                  <w:r>
                    <w:rPr>
                      <w:rFonts w:hint="eastAsia"/>
                      <w:color w:val="auto"/>
                      <w:highlight w:val="none"/>
                    </w:rPr>
                    <w:t>102.5</w:t>
                  </w:r>
                </w:p>
              </w:tc>
              <w:tc>
                <w:tcPr>
                  <w:tcW w:w="689" w:type="dxa"/>
                  <w:tcBorders>
                    <w:tl2br w:val="nil"/>
                    <w:tr2bl w:val="nil"/>
                  </w:tcBorders>
                  <w:shd w:val="clear" w:color="auto" w:fill="auto"/>
                  <w:vAlign w:val="center"/>
                </w:tcPr>
                <w:p>
                  <w:pPr>
                    <w:jc w:val="center"/>
                    <w:rPr>
                      <w:color w:val="auto"/>
                      <w:highlight w:val="none"/>
                    </w:rPr>
                  </w:pPr>
                  <w:r>
                    <w:rPr>
                      <w:rFonts w:hint="eastAsia"/>
                      <w:color w:val="auto"/>
                      <w:highlight w:val="none"/>
                    </w:rPr>
                    <w:t>超标</w:t>
                  </w:r>
                </w:p>
              </w:tc>
            </w:tr>
          </w:tbl>
          <w:p>
            <w:pPr>
              <w:widowControl/>
              <w:spacing w:line="360" w:lineRule="auto"/>
              <w:ind w:firstLine="420" w:firstLineChars="200"/>
              <w:jc w:val="left"/>
              <w:rPr>
                <w:color w:val="auto"/>
                <w:kern w:val="0"/>
                <w:szCs w:val="21"/>
                <w:highlight w:val="none"/>
              </w:rPr>
            </w:pPr>
            <w:r>
              <w:rPr>
                <w:rFonts w:hint="eastAsia" w:ascii="仿宋" w:hAnsi="仿宋" w:eastAsia="仿宋" w:cs="仿宋"/>
                <w:color w:val="auto"/>
                <w:szCs w:val="21"/>
                <w:highlight w:val="none"/>
              </w:rPr>
              <w:t>注：</w:t>
            </w:r>
            <w:r>
              <w:rPr>
                <w:rFonts w:hint="eastAsia" w:cs="宋体"/>
                <w:color w:val="auto"/>
                <w:szCs w:val="21"/>
                <w:highlight w:val="none"/>
              </w:rPr>
              <w:t>CO</w:t>
            </w:r>
            <w:r>
              <w:rPr>
                <w:rFonts w:hint="eastAsia" w:ascii="仿宋" w:hAnsi="仿宋" w:eastAsia="仿宋" w:cs="仿宋"/>
                <w:color w:val="auto"/>
                <w:szCs w:val="21"/>
                <w:highlight w:val="none"/>
              </w:rPr>
              <w:t>单位为</w:t>
            </w:r>
            <w:r>
              <w:rPr>
                <w:rFonts w:hint="eastAsia" w:cs="宋体"/>
                <w:color w:val="auto"/>
                <w:szCs w:val="21"/>
                <w:highlight w:val="none"/>
              </w:rPr>
              <w:t>mg/m</w:t>
            </w:r>
            <w:r>
              <w:rPr>
                <w:rFonts w:hint="eastAsia" w:cs="宋体"/>
                <w:color w:val="auto"/>
                <w:szCs w:val="21"/>
                <w:highlight w:val="none"/>
                <w:vertAlign w:val="superscript"/>
              </w:rPr>
              <w:t>3</w:t>
            </w:r>
          </w:p>
          <w:p>
            <w:pPr>
              <w:spacing w:line="360" w:lineRule="auto"/>
              <w:ind w:firstLine="480" w:firstLineChars="200"/>
              <w:rPr>
                <w:bCs/>
                <w:color w:val="auto"/>
                <w:sz w:val="24"/>
                <w:highlight w:val="none"/>
              </w:rPr>
            </w:pPr>
            <w:r>
              <w:rPr>
                <w:rFonts w:hint="eastAsia"/>
                <w:bCs/>
                <w:color w:val="auto"/>
                <w:sz w:val="24"/>
                <w:highlight w:val="none"/>
              </w:rPr>
              <w:t>为进一步改善环境质量，根据《苏州市空气质量改善达标规划（2019-2024）》，到2024年，全面优化产业布局，大幅提升清洁能源使用比例，构建清洁低碳高效能源体系，深挖电力、钢铁行业减排潜力，进一步推进热电整合，完成重点行业低VOCs含量原辅料替代目标。升级工艺技术，优化工艺流程，提高各行业清洁化生产水平。优化调整用地结构，全面推进面源污染治理；优化运输结构，完成高排放车辆与船舶淘汰，大幅提升新能源汽车比例，强化车船排放监管。建立健全监测监控体系。不断完善城市空气质量联合会商、联动执法和跨行政区域联防联控机制，推进PM</w:t>
            </w:r>
            <w:r>
              <w:rPr>
                <w:rFonts w:hint="eastAsia"/>
                <w:bCs/>
                <w:color w:val="auto"/>
                <w:sz w:val="24"/>
                <w:highlight w:val="none"/>
                <w:vertAlign w:val="subscript"/>
              </w:rPr>
              <w:t>2.5</w:t>
            </w:r>
            <w:r>
              <w:rPr>
                <w:rFonts w:hint="eastAsia"/>
                <w:bCs/>
                <w:color w:val="auto"/>
                <w:sz w:val="24"/>
                <w:highlight w:val="none"/>
              </w:rPr>
              <w:t>和臭氧协同控制，实现除臭氧以外的主要大气污染物全面达标，臭氧浓度不再上升的总体目标。</w:t>
            </w:r>
          </w:p>
          <w:p>
            <w:pPr>
              <w:pStyle w:val="24"/>
              <w:kinsoku w:val="0"/>
              <w:overflowPunct w:val="0"/>
              <w:spacing w:line="360" w:lineRule="auto"/>
              <w:ind w:firstLine="482" w:firstLineChars="200"/>
              <w:jc w:val="both"/>
              <w:rPr>
                <w:b/>
                <w:bCs/>
                <w:color w:val="auto"/>
                <w:highlight w:val="none"/>
              </w:rPr>
            </w:pPr>
            <w:r>
              <w:rPr>
                <w:b/>
                <w:bCs/>
                <w:color w:val="auto"/>
                <w:highlight w:val="none"/>
              </w:rPr>
              <w:t>2、水环境质量现状</w:t>
            </w:r>
          </w:p>
          <w:p>
            <w:pPr>
              <w:spacing w:line="360" w:lineRule="auto"/>
              <w:ind w:firstLine="480" w:firstLineChars="200"/>
              <w:rPr>
                <w:rFonts w:hint="eastAsia"/>
                <w:bCs/>
                <w:color w:val="auto"/>
                <w:sz w:val="24"/>
                <w:highlight w:val="none"/>
                <w:lang w:val="en-US" w:eastAsia="zh-CN"/>
              </w:rPr>
            </w:pPr>
            <w:r>
              <w:rPr>
                <w:rFonts w:hint="eastAsia"/>
                <w:bCs/>
                <w:color w:val="auto"/>
                <w:sz w:val="24"/>
                <w:highlight w:val="none"/>
              </w:rPr>
              <w:t>根据《2023年园区生态环境质量公报》</w:t>
            </w:r>
            <w:r>
              <w:rPr>
                <w:rFonts w:hint="eastAsia"/>
                <w:bCs/>
                <w:color w:val="auto"/>
                <w:sz w:val="24"/>
                <w:highlight w:val="none"/>
                <w:lang w:val="en-US" w:eastAsia="zh-CN"/>
              </w:rPr>
              <w:t>地表水环境质量</w:t>
            </w:r>
            <w:r>
              <w:rPr>
                <w:rFonts w:hint="eastAsia"/>
                <w:bCs/>
                <w:color w:val="auto"/>
                <w:sz w:val="24"/>
                <w:highlight w:val="none"/>
              </w:rPr>
              <w:t>：</w:t>
            </w:r>
            <w:r>
              <w:rPr>
                <w:rFonts w:hint="eastAsia"/>
                <w:bCs/>
                <w:color w:val="auto"/>
                <w:sz w:val="24"/>
                <w:highlight w:val="none"/>
                <w:lang w:val="en-US" w:eastAsia="zh-CN"/>
              </w:rPr>
              <w:t>2个集中式饮用水源地水质考核达标率100%；省、市考断面考核达标率100%；全区288个水体310个断面优Ⅲ比例96.2%，创历史新高。</w:t>
            </w:r>
          </w:p>
          <w:p>
            <w:pPr>
              <w:spacing w:line="360" w:lineRule="auto"/>
              <w:ind w:firstLine="480" w:firstLineChars="200"/>
              <w:rPr>
                <w:rFonts w:hint="eastAsia"/>
                <w:bCs/>
                <w:color w:val="auto"/>
                <w:sz w:val="24"/>
                <w:highlight w:val="none"/>
                <w:lang w:val="en-US" w:eastAsia="zh-CN"/>
              </w:rPr>
            </w:pPr>
            <w:r>
              <w:rPr>
                <w:rFonts w:hint="eastAsia"/>
                <w:bCs/>
                <w:color w:val="auto"/>
                <w:sz w:val="24"/>
                <w:highlight w:val="none"/>
                <w:lang w:val="en-US" w:eastAsia="zh-CN"/>
              </w:rPr>
              <w:t>集中式饮用水水源地（太湖寺前、阳澄湖东湖南）：2个集中式饮用水 水源地水质达到或优于《地表水环境质量标准》（GB3838-2002）Ⅲ类标准限制，属安全饮用水；太湖寺前饮用水源地年均水质符合Ⅱ类；阳澄湖东湖南饮用水源地年均水质符合Ⅲ类。</w:t>
            </w:r>
          </w:p>
          <w:p>
            <w:pPr>
              <w:spacing w:line="360" w:lineRule="auto"/>
              <w:ind w:firstLine="480" w:firstLineChars="200"/>
              <w:rPr>
                <w:rFonts w:hint="eastAsia"/>
                <w:bCs/>
                <w:color w:val="auto"/>
                <w:sz w:val="24"/>
                <w:highlight w:val="none"/>
                <w:lang w:val="en-US" w:eastAsia="zh-CN"/>
              </w:rPr>
            </w:pPr>
            <w:r>
              <w:rPr>
                <w:rFonts w:hint="eastAsia"/>
                <w:bCs/>
                <w:color w:val="auto"/>
                <w:sz w:val="24"/>
                <w:highlight w:val="none"/>
                <w:lang w:val="en-US" w:eastAsia="zh-CN"/>
              </w:rPr>
              <w:t>省级市级考核断面：3个省级考核断面（阳澄湖东湖南、娄江朱家村、吴淞江江里庄）年均水质均达到或优于Ⅲ类，其中Ⅱ类占比为66.7%，同比持平。自2016年以来，朱家村、江里庄连续8年考核达标率100%。阳澄湖东湖南连续6年考核达标率100%；6个市级考核断面（清秋浦现代大桥、斜塘河星华街桥、界浦港界江大桥、凤凰泾游台桥、金鸡湖心、独墅湖心）年均水质达到或优于Ⅲ类，达标率100%，其中Ⅱ类占比50.0%。</w:t>
            </w:r>
          </w:p>
          <w:p>
            <w:pPr>
              <w:spacing w:line="360" w:lineRule="auto"/>
              <w:ind w:firstLine="480" w:firstLineChars="200"/>
              <w:rPr>
                <w:rFonts w:hint="eastAsia"/>
                <w:bCs/>
                <w:color w:val="auto"/>
                <w:sz w:val="24"/>
                <w:highlight w:val="none"/>
                <w:lang w:val="en-US" w:eastAsia="zh-CN"/>
              </w:rPr>
            </w:pPr>
            <w:r>
              <w:rPr>
                <w:rFonts w:hint="eastAsia"/>
                <w:bCs/>
                <w:color w:val="auto"/>
                <w:sz w:val="24"/>
                <w:highlight w:val="none"/>
                <w:lang w:val="en-US" w:eastAsia="zh-CN"/>
              </w:rPr>
              <w:t>全区水体断面：园区228个水体，实测310个断面，年均水质达到或优于Ⅲ类、Ⅳ类、Ⅴ类、劣Ⅴ类的断面数占比：优Ⅲ类96.2%，优Ⅲ类占比同比提升11.4个百分点，优Ⅲ类占比创历史新高，比2019年首次实施全水体监测时提高42.6个百分点；Ⅳ类3.5%；Ⅴ类0.3%；劣Ⅴ类0%，劣Ⅴ类断面首次实现年度清零。</w:t>
            </w:r>
          </w:p>
          <w:p>
            <w:pPr>
              <w:spacing w:line="360" w:lineRule="auto"/>
              <w:ind w:firstLine="480" w:firstLineChars="200"/>
              <w:rPr>
                <w:rFonts w:hint="eastAsia"/>
                <w:bCs/>
                <w:color w:val="auto"/>
                <w:sz w:val="24"/>
                <w:highlight w:val="none"/>
                <w:lang w:val="en-US" w:eastAsia="zh-CN"/>
              </w:rPr>
            </w:pPr>
            <w:r>
              <w:rPr>
                <w:rFonts w:hint="eastAsia"/>
                <w:bCs/>
                <w:color w:val="auto"/>
                <w:sz w:val="24"/>
                <w:highlight w:val="none"/>
                <w:lang w:val="en-US" w:eastAsia="zh-CN"/>
              </w:rPr>
              <w:t>重点河流：娄江（园区段）、吴淞江（园区段）年均水质符合Ⅱ类，优于水质功能目标（Ⅳ类）两个水质类别。</w:t>
            </w:r>
          </w:p>
          <w:p>
            <w:pPr>
              <w:spacing w:line="360" w:lineRule="auto"/>
              <w:ind w:firstLine="480" w:firstLineChars="200"/>
              <w:rPr>
                <w:b/>
                <w:bCs/>
                <w:color w:val="auto"/>
                <w:highlight w:val="none"/>
              </w:rPr>
            </w:pPr>
            <w:r>
              <w:rPr>
                <w:rFonts w:hint="eastAsia"/>
                <w:bCs/>
                <w:color w:val="auto"/>
                <w:sz w:val="24"/>
                <w:highlight w:val="none"/>
                <w:lang w:val="en-US" w:eastAsia="zh-CN"/>
              </w:rPr>
              <w:t>重点湖泊：金鸡湖年均水质符合Ⅲ类，同比提升一个水质类别，总磷浓度为0.046mg/L，同比下降33.3%，成为历史最优；独墅湖年均水质符合Ⅲ类，同比提升一个水质类别，总磷浓度为0.046mg/L，同比下降30.3%，为历史最优；阳澄湖（园区辖区）年均水质符合Ⅲ类，同比提升一个水质类别，总磷浓度为0.043mg/L。同比下降15.7%。</w:t>
            </w:r>
          </w:p>
          <w:p>
            <w:pPr>
              <w:spacing w:line="360" w:lineRule="auto"/>
              <w:ind w:firstLine="480" w:firstLineChars="200"/>
              <w:rPr>
                <w:bCs/>
                <w:color w:val="auto"/>
                <w:sz w:val="24"/>
                <w:highlight w:val="none"/>
              </w:rPr>
            </w:pPr>
            <w:r>
              <w:rPr>
                <w:rFonts w:hint="eastAsia"/>
                <w:bCs/>
                <w:color w:val="auto"/>
                <w:sz w:val="24"/>
                <w:highlight w:val="none"/>
              </w:rPr>
              <w:t>苏州工业园区生态环境局于2024年3月发布了《2024年3月苏州工业园区地表水监测结果》，具体监测数据见下表。</w:t>
            </w:r>
          </w:p>
          <w:p>
            <w:pPr>
              <w:snapToGrid w:val="0"/>
              <w:spacing w:beforeLines="30"/>
              <w:jc w:val="center"/>
              <w:rPr>
                <w:b/>
                <w:color w:val="auto"/>
                <w:sz w:val="24"/>
                <w:highlight w:val="none"/>
              </w:rPr>
            </w:pPr>
            <w:r>
              <w:rPr>
                <w:b/>
                <w:color w:val="auto"/>
                <w:sz w:val="24"/>
                <w:highlight w:val="none"/>
              </w:rPr>
              <w:t>表3-</w:t>
            </w:r>
            <w:r>
              <w:rPr>
                <w:rFonts w:hint="eastAsia"/>
                <w:b/>
                <w:color w:val="auto"/>
                <w:sz w:val="24"/>
                <w:highlight w:val="none"/>
              </w:rPr>
              <w:t>2</w:t>
            </w:r>
            <w:r>
              <w:rPr>
                <w:b/>
                <w:color w:val="auto"/>
                <w:sz w:val="24"/>
                <w:highlight w:val="none"/>
              </w:rPr>
              <w:t>苏州工业园区地表水监测结果(单位：mg/L)</w:t>
            </w:r>
          </w:p>
          <w:tbl>
            <w:tblPr>
              <w:tblStyle w:val="32"/>
              <w:tblW w:w="499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1"/>
              <w:gridCol w:w="783"/>
              <w:gridCol w:w="1056"/>
              <w:gridCol w:w="1006"/>
              <w:gridCol w:w="1067"/>
              <w:gridCol w:w="759"/>
              <w:gridCol w:w="1499"/>
              <w:gridCol w:w="734"/>
              <w:gridCol w:w="5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jc w:val="center"/>
              </w:trPr>
              <w:tc>
                <w:tcPr>
                  <w:tcW w:w="236" w:type="pct"/>
                  <w:tcBorders>
                    <w:left w:val="nil"/>
                  </w:tcBorders>
                  <w:textDirection w:val="tbRlV"/>
                </w:tcPr>
                <w:p>
                  <w:pPr>
                    <w:spacing w:before="152" w:line="218" w:lineRule="auto"/>
                    <w:jc w:val="center"/>
                    <w:rPr>
                      <w:color w:val="auto"/>
                      <w:szCs w:val="21"/>
                      <w:highlight w:val="none"/>
                    </w:rPr>
                  </w:pPr>
                  <w:r>
                    <w:rPr>
                      <w:color w:val="auto"/>
                      <w:spacing w:val="-8"/>
                      <w:szCs w:val="21"/>
                      <w:highlight w:val="none"/>
                    </w:rPr>
                    <w:t>序</w:t>
                  </w:r>
                  <w:r>
                    <w:rPr>
                      <w:color w:val="auto"/>
                      <w:spacing w:val="-6"/>
                      <w:szCs w:val="21"/>
                      <w:highlight w:val="none"/>
                    </w:rPr>
                    <w:t>号</w:t>
                  </w:r>
                </w:p>
              </w:tc>
              <w:tc>
                <w:tcPr>
                  <w:tcW w:w="498" w:type="pct"/>
                </w:tcPr>
                <w:p>
                  <w:pPr>
                    <w:spacing w:before="190" w:line="228" w:lineRule="auto"/>
                    <w:jc w:val="center"/>
                    <w:rPr>
                      <w:color w:val="auto"/>
                      <w:szCs w:val="21"/>
                      <w:highlight w:val="none"/>
                    </w:rPr>
                  </w:pPr>
                  <w:r>
                    <w:rPr>
                      <w:color w:val="auto"/>
                      <w:spacing w:val="4"/>
                      <w:szCs w:val="21"/>
                      <w:highlight w:val="none"/>
                    </w:rPr>
                    <w:t>水</w:t>
                  </w:r>
                  <w:r>
                    <w:rPr>
                      <w:color w:val="auto"/>
                      <w:spacing w:val="3"/>
                      <w:szCs w:val="21"/>
                      <w:highlight w:val="none"/>
                    </w:rPr>
                    <w:t>体</w:t>
                  </w:r>
                </w:p>
              </w:tc>
              <w:tc>
                <w:tcPr>
                  <w:tcW w:w="672" w:type="pct"/>
                </w:tcPr>
                <w:p>
                  <w:pPr>
                    <w:spacing w:before="190" w:line="228" w:lineRule="auto"/>
                    <w:jc w:val="center"/>
                    <w:rPr>
                      <w:color w:val="auto"/>
                      <w:szCs w:val="21"/>
                      <w:highlight w:val="none"/>
                    </w:rPr>
                  </w:pPr>
                  <w:r>
                    <w:rPr>
                      <w:color w:val="auto"/>
                      <w:spacing w:val="7"/>
                      <w:szCs w:val="21"/>
                      <w:highlight w:val="none"/>
                    </w:rPr>
                    <w:t>监测断面</w:t>
                  </w:r>
                </w:p>
              </w:tc>
              <w:tc>
                <w:tcPr>
                  <w:tcW w:w="640" w:type="pct"/>
                </w:tcPr>
                <w:p>
                  <w:pPr>
                    <w:spacing w:before="189" w:line="230" w:lineRule="auto"/>
                    <w:jc w:val="center"/>
                    <w:rPr>
                      <w:color w:val="auto"/>
                      <w:szCs w:val="21"/>
                      <w:highlight w:val="none"/>
                    </w:rPr>
                  </w:pPr>
                  <w:r>
                    <w:rPr>
                      <w:color w:val="auto"/>
                      <w:spacing w:val="7"/>
                      <w:szCs w:val="21"/>
                      <w:highlight w:val="none"/>
                    </w:rPr>
                    <w:t>监测时间</w:t>
                  </w:r>
                </w:p>
              </w:tc>
              <w:tc>
                <w:tcPr>
                  <w:tcW w:w="679" w:type="pct"/>
                </w:tcPr>
                <w:p>
                  <w:pPr>
                    <w:spacing w:before="56" w:line="234" w:lineRule="auto"/>
                    <w:ind w:right="150"/>
                    <w:jc w:val="center"/>
                    <w:rPr>
                      <w:rFonts w:eastAsia="Times New Roman"/>
                      <w:color w:val="auto"/>
                      <w:szCs w:val="21"/>
                      <w:highlight w:val="none"/>
                    </w:rPr>
                  </w:pPr>
                  <w:r>
                    <w:rPr>
                      <w:rFonts w:eastAsia="Times New Roman"/>
                      <w:color w:val="auto"/>
                      <w:szCs w:val="21"/>
                      <w:highlight w:val="none"/>
                    </w:rPr>
                    <w:t>pH</w:t>
                  </w:r>
                </w:p>
                <w:p>
                  <w:pPr>
                    <w:spacing w:before="56" w:line="234" w:lineRule="auto"/>
                    <w:ind w:right="150"/>
                    <w:jc w:val="center"/>
                    <w:rPr>
                      <w:color w:val="auto"/>
                      <w:szCs w:val="21"/>
                      <w:highlight w:val="none"/>
                    </w:rPr>
                  </w:pPr>
                  <w:r>
                    <w:rPr>
                      <w:color w:val="auto"/>
                      <w:spacing w:val="7"/>
                      <w:szCs w:val="21"/>
                      <w:highlight w:val="none"/>
                    </w:rPr>
                    <w:t>(无</w:t>
                  </w:r>
                  <w:r>
                    <w:rPr>
                      <w:color w:val="auto"/>
                      <w:spacing w:val="3"/>
                      <w:szCs w:val="21"/>
                      <w:highlight w:val="none"/>
                    </w:rPr>
                    <w:t>量纲)</w:t>
                  </w:r>
                </w:p>
              </w:tc>
              <w:tc>
                <w:tcPr>
                  <w:tcW w:w="483" w:type="pct"/>
                </w:tcPr>
                <w:p>
                  <w:pPr>
                    <w:spacing w:before="55" w:line="271" w:lineRule="exact"/>
                    <w:jc w:val="center"/>
                    <w:rPr>
                      <w:color w:val="auto"/>
                      <w:szCs w:val="21"/>
                      <w:highlight w:val="none"/>
                    </w:rPr>
                  </w:pPr>
                  <w:r>
                    <w:rPr>
                      <w:color w:val="auto"/>
                      <w:spacing w:val="7"/>
                      <w:szCs w:val="21"/>
                      <w:highlight w:val="none"/>
                    </w:rPr>
                    <w:t>溶解氧</w:t>
                  </w:r>
                </w:p>
              </w:tc>
              <w:tc>
                <w:tcPr>
                  <w:tcW w:w="954" w:type="pct"/>
                </w:tcPr>
                <w:p>
                  <w:pPr>
                    <w:spacing w:before="56" w:line="234" w:lineRule="auto"/>
                    <w:ind w:right="181"/>
                    <w:jc w:val="center"/>
                    <w:rPr>
                      <w:color w:val="auto"/>
                      <w:szCs w:val="21"/>
                      <w:highlight w:val="none"/>
                    </w:rPr>
                  </w:pPr>
                  <w:r>
                    <w:rPr>
                      <w:color w:val="auto"/>
                      <w:spacing w:val="6"/>
                      <w:szCs w:val="21"/>
                      <w:highlight w:val="none"/>
                    </w:rPr>
                    <w:t>高锰酸</w:t>
                  </w:r>
                  <w:r>
                    <w:rPr>
                      <w:color w:val="auto"/>
                      <w:spacing w:val="5"/>
                      <w:szCs w:val="21"/>
                      <w:highlight w:val="none"/>
                    </w:rPr>
                    <w:t>盐</w:t>
                  </w:r>
                  <w:r>
                    <w:rPr>
                      <w:color w:val="auto"/>
                      <w:spacing w:val="4"/>
                      <w:szCs w:val="21"/>
                      <w:highlight w:val="none"/>
                    </w:rPr>
                    <w:t>指</w:t>
                  </w:r>
                  <w:r>
                    <w:rPr>
                      <w:color w:val="auto"/>
                      <w:spacing w:val="3"/>
                      <w:szCs w:val="21"/>
                      <w:highlight w:val="none"/>
                    </w:rPr>
                    <w:t>数</w:t>
                  </w:r>
                </w:p>
              </w:tc>
              <w:tc>
                <w:tcPr>
                  <w:tcW w:w="467" w:type="pct"/>
                </w:tcPr>
                <w:p>
                  <w:pPr>
                    <w:spacing w:before="189" w:line="228" w:lineRule="auto"/>
                    <w:jc w:val="center"/>
                    <w:rPr>
                      <w:color w:val="auto"/>
                      <w:szCs w:val="21"/>
                      <w:highlight w:val="none"/>
                    </w:rPr>
                  </w:pPr>
                  <w:r>
                    <w:rPr>
                      <w:color w:val="auto"/>
                      <w:spacing w:val="5"/>
                      <w:szCs w:val="21"/>
                      <w:highlight w:val="none"/>
                    </w:rPr>
                    <w:t>氨</w:t>
                  </w:r>
                  <w:r>
                    <w:rPr>
                      <w:color w:val="auto"/>
                      <w:spacing w:val="4"/>
                      <w:szCs w:val="21"/>
                      <w:highlight w:val="none"/>
                    </w:rPr>
                    <w:t>氮</w:t>
                  </w:r>
                </w:p>
              </w:tc>
              <w:tc>
                <w:tcPr>
                  <w:tcW w:w="365" w:type="pct"/>
                  <w:tcBorders>
                    <w:right w:val="nil"/>
                  </w:tcBorders>
                </w:tcPr>
                <w:p>
                  <w:pPr>
                    <w:spacing w:before="190" w:line="228" w:lineRule="auto"/>
                    <w:jc w:val="center"/>
                    <w:rPr>
                      <w:color w:val="auto"/>
                      <w:szCs w:val="21"/>
                      <w:highlight w:val="none"/>
                    </w:rPr>
                  </w:pPr>
                  <w:r>
                    <w:rPr>
                      <w:color w:val="auto"/>
                      <w:spacing w:val="4"/>
                      <w:szCs w:val="21"/>
                      <w:highlight w:val="none"/>
                    </w:rPr>
                    <w:t>总</w:t>
                  </w:r>
                  <w:r>
                    <w:rPr>
                      <w:color w:val="auto"/>
                      <w:spacing w:val="3"/>
                      <w:szCs w:val="21"/>
                      <w:highlight w:val="none"/>
                    </w:rPr>
                    <w:t>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jc w:val="center"/>
              </w:trPr>
              <w:tc>
                <w:tcPr>
                  <w:tcW w:w="236" w:type="pct"/>
                  <w:tcBorders>
                    <w:left w:val="nil"/>
                  </w:tcBorders>
                </w:tcPr>
                <w:p>
                  <w:pPr>
                    <w:spacing w:before="77" w:line="195" w:lineRule="auto"/>
                    <w:jc w:val="center"/>
                    <w:rPr>
                      <w:rFonts w:eastAsia="Times New Roman"/>
                      <w:color w:val="auto"/>
                      <w:szCs w:val="21"/>
                      <w:highlight w:val="none"/>
                    </w:rPr>
                  </w:pPr>
                  <w:r>
                    <w:rPr>
                      <w:rFonts w:eastAsia="Times New Roman"/>
                      <w:color w:val="auto"/>
                      <w:szCs w:val="21"/>
                      <w:highlight w:val="none"/>
                    </w:rPr>
                    <w:t>1</w:t>
                  </w:r>
                </w:p>
              </w:tc>
              <w:tc>
                <w:tcPr>
                  <w:tcW w:w="498" w:type="pct"/>
                </w:tcPr>
                <w:p>
                  <w:pPr>
                    <w:spacing w:before="42" w:line="211" w:lineRule="auto"/>
                    <w:jc w:val="center"/>
                    <w:rPr>
                      <w:color w:val="auto"/>
                      <w:szCs w:val="21"/>
                      <w:highlight w:val="none"/>
                    </w:rPr>
                  </w:pPr>
                  <w:r>
                    <w:rPr>
                      <w:color w:val="auto"/>
                      <w:spacing w:val="5"/>
                      <w:szCs w:val="21"/>
                      <w:highlight w:val="none"/>
                    </w:rPr>
                    <w:t>娄</w:t>
                  </w:r>
                  <w:r>
                    <w:rPr>
                      <w:color w:val="auto"/>
                      <w:spacing w:val="4"/>
                      <w:szCs w:val="21"/>
                      <w:highlight w:val="none"/>
                    </w:rPr>
                    <w:t>江</w:t>
                  </w:r>
                </w:p>
              </w:tc>
              <w:tc>
                <w:tcPr>
                  <w:tcW w:w="672" w:type="pct"/>
                </w:tcPr>
                <w:p>
                  <w:pPr>
                    <w:spacing w:before="42" w:line="211" w:lineRule="auto"/>
                    <w:jc w:val="center"/>
                    <w:rPr>
                      <w:color w:val="auto"/>
                      <w:szCs w:val="21"/>
                      <w:highlight w:val="none"/>
                    </w:rPr>
                  </w:pPr>
                  <w:r>
                    <w:rPr>
                      <w:color w:val="auto"/>
                      <w:spacing w:val="7"/>
                      <w:szCs w:val="21"/>
                      <w:highlight w:val="none"/>
                    </w:rPr>
                    <w:t>朱</w:t>
                  </w:r>
                  <w:r>
                    <w:rPr>
                      <w:color w:val="auto"/>
                      <w:spacing w:val="6"/>
                      <w:szCs w:val="21"/>
                      <w:highlight w:val="none"/>
                    </w:rPr>
                    <w:t>家村</w:t>
                  </w:r>
                </w:p>
              </w:tc>
              <w:tc>
                <w:tcPr>
                  <w:tcW w:w="640" w:type="pct"/>
                  <w:vAlign w:val="center"/>
                </w:tcPr>
                <w:p>
                  <w:pPr>
                    <w:spacing w:before="11" w:line="259" w:lineRule="exact"/>
                    <w:jc w:val="center"/>
                    <w:rPr>
                      <w:rFonts w:eastAsia="Times New Roman"/>
                      <w:color w:val="auto"/>
                      <w:spacing w:val="9"/>
                      <w:position w:val="1"/>
                      <w:szCs w:val="21"/>
                      <w:highlight w:val="none"/>
                    </w:rPr>
                  </w:pPr>
                  <w:r>
                    <w:rPr>
                      <w:rFonts w:eastAsia="Times New Roman"/>
                      <w:color w:val="auto"/>
                      <w:spacing w:val="9"/>
                      <w:position w:val="1"/>
                      <w:szCs w:val="21"/>
                      <w:highlight w:val="none"/>
                    </w:rPr>
                    <w:t>2024/3/8</w:t>
                  </w:r>
                </w:p>
              </w:tc>
              <w:tc>
                <w:tcPr>
                  <w:tcW w:w="679" w:type="pct"/>
                  <w:vAlign w:val="center"/>
                </w:tcPr>
                <w:p>
                  <w:pPr>
                    <w:spacing w:before="11" w:line="259" w:lineRule="exact"/>
                    <w:jc w:val="center"/>
                    <w:rPr>
                      <w:rFonts w:eastAsia="Times New Roman"/>
                      <w:color w:val="auto"/>
                      <w:spacing w:val="9"/>
                      <w:position w:val="1"/>
                      <w:szCs w:val="21"/>
                      <w:highlight w:val="none"/>
                    </w:rPr>
                  </w:pPr>
                  <w:r>
                    <w:rPr>
                      <w:rFonts w:eastAsia="Times New Roman"/>
                      <w:color w:val="auto"/>
                      <w:spacing w:val="9"/>
                      <w:position w:val="1"/>
                      <w:szCs w:val="21"/>
                      <w:highlight w:val="none"/>
                    </w:rPr>
                    <w:t>8.0</w:t>
                  </w:r>
                </w:p>
              </w:tc>
              <w:tc>
                <w:tcPr>
                  <w:tcW w:w="483" w:type="pct"/>
                  <w:vAlign w:val="center"/>
                </w:tcPr>
                <w:p>
                  <w:pPr>
                    <w:spacing w:before="11" w:line="259" w:lineRule="exact"/>
                    <w:jc w:val="center"/>
                    <w:rPr>
                      <w:rFonts w:eastAsia="Times New Roman"/>
                      <w:color w:val="auto"/>
                      <w:spacing w:val="9"/>
                      <w:position w:val="1"/>
                      <w:szCs w:val="21"/>
                      <w:highlight w:val="none"/>
                    </w:rPr>
                  </w:pPr>
                  <w:r>
                    <w:rPr>
                      <w:rFonts w:eastAsia="Times New Roman"/>
                      <w:color w:val="auto"/>
                      <w:spacing w:val="9"/>
                      <w:position w:val="1"/>
                      <w:szCs w:val="21"/>
                      <w:highlight w:val="none"/>
                    </w:rPr>
                    <w:t>10.2</w:t>
                  </w:r>
                </w:p>
              </w:tc>
              <w:tc>
                <w:tcPr>
                  <w:tcW w:w="954" w:type="pct"/>
                  <w:vAlign w:val="center"/>
                </w:tcPr>
                <w:p>
                  <w:pPr>
                    <w:spacing w:before="11" w:line="259" w:lineRule="exact"/>
                    <w:jc w:val="center"/>
                    <w:rPr>
                      <w:rFonts w:eastAsia="Times New Roman"/>
                      <w:color w:val="auto"/>
                      <w:spacing w:val="9"/>
                      <w:position w:val="1"/>
                      <w:szCs w:val="21"/>
                      <w:highlight w:val="none"/>
                    </w:rPr>
                  </w:pPr>
                  <w:r>
                    <w:rPr>
                      <w:rFonts w:eastAsia="Times New Roman"/>
                      <w:color w:val="auto"/>
                      <w:spacing w:val="9"/>
                      <w:position w:val="1"/>
                      <w:szCs w:val="21"/>
                      <w:highlight w:val="none"/>
                    </w:rPr>
                    <w:t>2.6</w:t>
                  </w:r>
                </w:p>
              </w:tc>
              <w:tc>
                <w:tcPr>
                  <w:tcW w:w="467" w:type="pct"/>
                  <w:vAlign w:val="center"/>
                </w:tcPr>
                <w:p>
                  <w:pPr>
                    <w:spacing w:before="11" w:line="259" w:lineRule="exact"/>
                    <w:jc w:val="center"/>
                    <w:rPr>
                      <w:rFonts w:eastAsia="Times New Roman"/>
                      <w:color w:val="auto"/>
                      <w:spacing w:val="9"/>
                      <w:position w:val="1"/>
                      <w:szCs w:val="21"/>
                      <w:highlight w:val="none"/>
                    </w:rPr>
                  </w:pPr>
                  <w:r>
                    <w:rPr>
                      <w:rFonts w:eastAsia="Times New Roman"/>
                      <w:color w:val="auto"/>
                      <w:spacing w:val="9"/>
                      <w:position w:val="1"/>
                      <w:szCs w:val="21"/>
                      <w:highlight w:val="none"/>
                    </w:rPr>
                    <w:t>0.06</w:t>
                  </w:r>
                </w:p>
              </w:tc>
              <w:tc>
                <w:tcPr>
                  <w:tcW w:w="365" w:type="pct"/>
                  <w:tcBorders>
                    <w:right w:val="nil"/>
                  </w:tcBorders>
                  <w:vAlign w:val="center"/>
                </w:tcPr>
                <w:p>
                  <w:pPr>
                    <w:spacing w:before="11" w:line="259" w:lineRule="exact"/>
                    <w:jc w:val="center"/>
                    <w:rPr>
                      <w:rFonts w:eastAsia="Times New Roman"/>
                      <w:color w:val="auto"/>
                      <w:spacing w:val="9"/>
                      <w:position w:val="1"/>
                      <w:szCs w:val="21"/>
                      <w:highlight w:val="none"/>
                    </w:rPr>
                  </w:pPr>
                  <w:r>
                    <w:rPr>
                      <w:rFonts w:eastAsia="Times New Roman"/>
                      <w:color w:val="auto"/>
                      <w:spacing w:val="9"/>
                      <w:position w:val="1"/>
                      <w:szCs w:val="21"/>
                      <w:highlight w:val="none"/>
                    </w:rPr>
                    <w:t>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jc w:val="center"/>
              </w:trPr>
              <w:tc>
                <w:tcPr>
                  <w:tcW w:w="236" w:type="pct"/>
                  <w:tcBorders>
                    <w:left w:val="nil"/>
                  </w:tcBorders>
                </w:tcPr>
                <w:p>
                  <w:pPr>
                    <w:spacing w:before="82" w:line="195" w:lineRule="auto"/>
                    <w:jc w:val="center"/>
                    <w:rPr>
                      <w:rFonts w:eastAsia="Times New Roman"/>
                      <w:color w:val="auto"/>
                      <w:szCs w:val="21"/>
                      <w:highlight w:val="none"/>
                    </w:rPr>
                  </w:pPr>
                  <w:r>
                    <w:rPr>
                      <w:rFonts w:eastAsia="Times New Roman"/>
                      <w:color w:val="auto"/>
                      <w:szCs w:val="21"/>
                      <w:highlight w:val="none"/>
                    </w:rPr>
                    <w:t>2</w:t>
                  </w:r>
                </w:p>
              </w:tc>
              <w:tc>
                <w:tcPr>
                  <w:tcW w:w="498" w:type="pct"/>
                </w:tcPr>
                <w:p>
                  <w:pPr>
                    <w:spacing w:before="46" w:line="208" w:lineRule="auto"/>
                    <w:jc w:val="center"/>
                    <w:rPr>
                      <w:color w:val="auto"/>
                      <w:szCs w:val="21"/>
                      <w:highlight w:val="none"/>
                    </w:rPr>
                  </w:pPr>
                  <w:r>
                    <w:rPr>
                      <w:color w:val="auto"/>
                      <w:spacing w:val="7"/>
                      <w:szCs w:val="21"/>
                      <w:highlight w:val="none"/>
                    </w:rPr>
                    <w:t>吴</w:t>
                  </w:r>
                  <w:r>
                    <w:rPr>
                      <w:color w:val="auto"/>
                      <w:spacing w:val="6"/>
                      <w:szCs w:val="21"/>
                      <w:highlight w:val="none"/>
                    </w:rPr>
                    <w:t>淞江</w:t>
                  </w:r>
                </w:p>
              </w:tc>
              <w:tc>
                <w:tcPr>
                  <w:tcW w:w="672" w:type="pct"/>
                </w:tcPr>
                <w:p>
                  <w:pPr>
                    <w:spacing w:before="46" w:line="208" w:lineRule="auto"/>
                    <w:jc w:val="center"/>
                    <w:rPr>
                      <w:color w:val="auto"/>
                      <w:szCs w:val="21"/>
                      <w:highlight w:val="none"/>
                    </w:rPr>
                  </w:pPr>
                  <w:r>
                    <w:rPr>
                      <w:color w:val="auto"/>
                      <w:spacing w:val="7"/>
                      <w:szCs w:val="21"/>
                      <w:highlight w:val="none"/>
                    </w:rPr>
                    <w:t>江</w:t>
                  </w:r>
                  <w:r>
                    <w:rPr>
                      <w:color w:val="auto"/>
                      <w:spacing w:val="6"/>
                      <w:szCs w:val="21"/>
                      <w:highlight w:val="none"/>
                    </w:rPr>
                    <w:t>里庄</w:t>
                  </w:r>
                </w:p>
              </w:tc>
              <w:tc>
                <w:tcPr>
                  <w:tcW w:w="640" w:type="pct"/>
                  <w:vAlign w:val="center"/>
                </w:tcPr>
                <w:p>
                  <w:pPr>
                    <w:widowControl/>
                    <w:jc w:val="center"/>
                    <w:textAlignment w:val="center"/>
                    <w:rPr>
                      <w:rFonts w:eastAsia="Times New Roman"/>
                      <w:color w:val="auto"/>
                      <w:spacing w:val="9"/>
                      <w:position w:val="1"/>
                      <w:szCs w:val="21"/>
                      <w:highlight w:val="none"/>
                    </w:rPr>
                  </w:pPr>
                  <w:r>
                    <w:rPr>
                      <w:color w:val="auto"/>
                      <w:kern w:val="0"/>
                      <w:sz w:val="24"/>
                      <w:highlight w:val="none"/>
                    </w:rPr>
                    <w:t>2024/3/1</w:t>
                  </w:r>
                </w:p>
              </w:tc>
              <w:tc>
                <w:tcPr>
                  <w:tcW w:w="679" w:type="pct"/>
                  <w:vAlign w:val="center"/>
                </w:tcPr>
                <w:p>
                  <w:pPr>
                    <w:widowControl/>
                    <w:jc w:val="center"/>
                    <w:textAlignment w:val="center"/>
                    <w:rPr>
                      <w:rFonts w:eastAsia="Times New Roman"/>
                      <w:color w:val="auto"/>
                      <w:spacing w:val="9"/>
                      <w:position w:val="1"/>
                      <w:szCs w:val="21"/>
                      <w:highlight w:val="none"/>
                    </w:rPr>
                  </w:pPr>
                  <w:r>
                    <w:rPr>
                      <w:color w:val="auto"/>
                      <w:kern w:val="0"/>
                      <w:sz w:val="24"/>
                      <w:highlight w:val="none"/>
                    </w:rPr>
                    <w:t>7.7</w:t>
                  </w:r>
                </w:p>
              </w:tc>
              <w:tc>
                <w:tcPr>
                  <w:tcW w:w="483" w:type="pct"/>
                  <w:vAlign w:val="center"/>
                </w:tcPr>
                <w:p>
                  <w:pPr>
                    <w:widowControl/>
                    <w:jc w:val="center"/>
                    <w:textAlignment w:val="center"/>
                    <w:rPr>
                      <w:rFonts w:eastAsia="Times New Roman"/>
                      <w:color w:val="auto"/>
                      <w:spacing w:val="9"/>
                      <w:position w:val="1"/>
                      <w:szCs w:val="21"/>
                      <w:highlight w:val="none"/>
                    </w:rPr>
                  </w:pPr>
                  <w:r>
                    <w:rPr>
                      <w:color w:val="auto"/>
                      <w:kern w:val="0"/>
                      <w:sz w:val="24"/>
                      <w:highlight w:val="none"/>
                    </w:rPr>
                    <w:t>8.8</w:t>
                  </w:r>
                </w:p>
              </w:tc>
              <w:tc>
                <w:tcPr>
                  <w:tcW w:w="954" w:type="pct"/>
                  <w:vAlign w:val="center"/>
                </w:tcPr>
                <w:p>
                  <w:pPr>
                    <w:widowControl/>
                    <w:jc w:val="center"/>
                    <w:textAlignment w:val="center"/>
                    <w:rPr>
                      <w:rFonts w:eastAsia="Times New Roman"/>
                      <w:color w:val="auto"/>
                      <w:spacing w:val="9"/>
                      <w:position w:val="1"/>
                      <w:szCs w:val="21"/>
                      <w:highlight w:val="none"/>
                    </w:rPr>
                  </w:pPr>
                  <w:r>
                    <w:rPr>
                      <w:color w:val="auto"/>
                      <w:kern w:val="0"/>
                      <w:sz w:val="24"/>
                      <w:highlight w:val="none"/>
                    </w:rPr>
                    <w:t>3.0</w:t>
                  </w:r>
                </w:p>
              </w:tc>
              <w:tc>
                <w:tcPr>
                  <w:tcW w:w="467" w:type="pct"/>
                  <w:vAlign w:val="center"/>
                </w:tcPr>
                <w:p>
                  <w:pPr>
                    <w:widowControl/>
                    <w:jc w:val="center"/>
                    <w:textAlignment w:val="center"/>
                    <w:rPr>
                      <w:rFonts w:eastAsia="Times New Roman"/>
                      <w:color w:val="auto"/>
                      <w:spacing w:val="9"/>
                      <w:position w:val="1"/>
                      <w:szCs w:val="21"/>
                      <w:highlight w:val="none"/>
                    </w:rPr>
                  </w:pPr>
                  <w:r>
                    <w:rPr>
                      <w:color w:val="auto"/>
                      <w:kern w:val="0"/>
                      <w:sz w:val="24"/>
                      <w:highlight w:val="none"/>
                    </w:rPr>
                    <w:t>0.54</w:t>
                  </w:r>
                </w:p>
              </w:tc>
              <w:tc>
                <w:tcPr>
                  <w:tcW w:w="365" w:type="pct"/>
                  <w:tcBorders>
                    <w:right w:val="nil"/>
                  </w:tcBorders>
                  <w:vAlign w:val="center"/>
                </w:tcPr>
                <w:p>
                  <w:pPr>
                    <w:widowControl/>
                    <w:jc w:val="center"/>
                    <w:textAlignment w:val="center"/>
                    <w:rPr>
                      <w:rFonts w:eastAsia="Times New Roman"/>
                      <w:color w:val="auto"/>
                      <w:spacing w:val="9"/>
                      <w:position w:val="1"/>
                      <w:szCs w:val="21"/>
                      <w:highlight w:val="none"/>
                    </w:rPr>
                  </w:pPr>
                  <w:r>
                    <w:rPr>
                      <w:color w:val="auto"/>
                      <w:kern w:val="0"/>
                      <w:sz w:val="24"/>
                      <w:highlight w:val="none"/>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236" w:type="pct"/>
                  <w:tcBorders>
                    <w:left w:val="nil"/>
                  </w:tcBorders>
                </w:tcPr>
                <w:p>
                  <w:pPr>
                    <w:spacing w:before="88" w:line="195" w:lineRule="auto"/>
                    <w:jc w:val="center"/>
                    <w:rPr>
                      <w:rFonts w:eastAsia="Times New Roman"/>
                      <w:color w:val="auto"/>
                      <w:szCs w:val="21"/>
                      <w:highlight w:val="none"/>
                    </w:rPr>
                  </w:pPr>
                  <w:r>
                    <w:rPr>
                      <w:rFonts w:eastAsia="Times New Roman"/>
                      <w:color w:val="auto"/>
                      <w:szCs w:val="21"/>
                      <w:highlight w:val="none"/>
                    </w:rPr>
                    <w:t>3</w:t>
                  </w:r>
                </w:p>
              </w:tc>
              <w:tc>
                <w:tcPr>
                  <w:tcW w:w="498" w:type="pct"/>
                </w:tcPr>
                <w:p>
                  <w:pPr>
                    <w:spacing w:before="53" w:line="229" w:lineRule="auto"/>
                    <w:jc w:val="center"/>
                    <w:rPr>
                      <w:color w:val="auto"/>
                      <w:szCs w:val="21"/>
                      <w:highlight w:val="none"/>
                    </w:rPr>
                  </w:pPr>
                  <w:r>
                    <w:rPr>
                      <w:color w:val="auto"/>
                      <w:spacing w:val="2"/>
                      <w:szCs w:val="21"/>
                      <w:highlight w:val="none"/>
                    </w:rPr>
                    <w:t>阳澄</w:t>
                  </w:r>
                  <w:r>
                    <w:rPr>
                      <w:color w:val="auto"/>
                      <w:spacing w:val="1"/>
                      <w:szCs w:val="21"/>
                      <w:highlight w:val="none"/>
                    </w:rPr>
                    <w:t>湖</w:t>
                  </w:r>
                </w:p>
              </w:tc>
              <w:tc>
                <w:tcPr>
                  <w:tcW w:w="672" w:type="pct"/>
                </w:tcPr>
                <w:p>
                  <w:pPr>
                    <w:spacing w:before="53" w:line="228" w:lineRule="auto"/>
                    <w:jc w:val="center"/>
                    <w:rPr>
                      <w:color w:val="auto"/>
                      <w:szCs w:val="21"/>
                      <w:highlight w:val="none"/>
                    </w:rPr>
                  </w:pPr>
                  <w:r>
                    <w:rPr>
                      <w:color w:val="auto"/>
                      <w:spacing w:val="5"/>
                      <w:szCs w:val="21"/>
                      <w:highlight w:val="none"/>
                    </w:rPr>
                    <w:t>东</w:t>
                  </w:r>
                  <w:r>
                    <w:rPr>
                      <w:color w:val="auto"/>
                      <w:spacing w:val="4"/>
                      <w:szCs w:val="21"/>
                      <w:highlight w:val="none"/>
                    </w:rPr>
                    <w:t>湖南</w:t>
                  </w:r>
                </w:p>
              </w:tc>
              <w:tc>
                <w:tcPr>
                  <w:tcW w:w="640" w:type="pct"/>
                  <w:vAlign w:val="center"/>
                </w:tcPr>
                <w:p>
                  <w:pPr>
                    <w:widowControl/>
                    <w:jc w:val="center"/>
                    <w:textAlignment w:val="center"/>
                    <w:rPr>
                      <w:rFonts w:eastAsia="Times New Roman"/>
                      <w:color w:val="auto"/>
                      <w:spacing w:val="9"/>
                      <w:position w:val="1"/>
                      <w:szCs w:val="21"/>
                      <w:highlight w:val="none"/>
                    </w:rPr>
                  </w:pPr>
                  <w:r>
                    <w:rPr>
                      <w:color w:val="auto"/>
                      <w:kern w:val="0"/>
                      <w:sz w:val="24"/>
                      <w:highlight w:val="none"/>
                    </w:rPr>
                    <w:t>2024/3/1</w:t>
                  </w:r>
                </w:p>
              </w:tc>
              <w:tc>
                <w:tcPr>
                  <w:tcW w:w="679" w:type="pct"/>
                  <w:vAlign w:val="center"/>
                </w:tcPr>
                <w:p>
                  <w:pPr>
                    <w:widowControl/>
                    <w:jc w:val="center"/>
                    <w:textAlignment w:val="center"/>
                    <w:rPr>
                      <w:rFonts w:eastAsia="Times New Roman"/>
                      <w:color w:val="auto"/>
                      <w:spacing w:val="9"/>
                      <w:position w:val="1"/>
                      <w:szCs w:val="21"/>
                      <w:highlight w:val="none"/>
                    </w:rPr>
                  </w:pPr>
                  <w:r>
                    <w:rPr>
                      <w:color w:val="auto"/>
                      <w:kern w:val="0"/>
                      <w:sz w:val="24"/>
                      <w:highlight w:val="none"/>
                    </w:rPr>
                    <w:t>7.9</w:t>
                  </w:r>
                </w:p>
              </w:tc>
              <w:tc>
                <w:tcPr>
                  <w:tcW w:w="483" w:type="pct"/>
                  <w:vAlign w:val="center"/>
                </w:tcPr>
                <w:p>
                  <w:pPr>
                    <w:widowControl/>
                    <w:jc w:val="center"/>
                    <w:textAlignment w:val="center"/>
                    <w:rPr>
                      <w:rFonts w:eastAsia="Times New Roman"/>
                      <w:color w:val="auto"/>
                      <w:spacing w:val="9"/>
                      <w:position w:val="1"/>
                      <w:szCs w:val="21"/>
                      <w:highlight w:val="none"/>
                    </w:rPr>
                  </w:pPr>
                  <w:r>
                    <w:rPr>
                      <w:color w:val="auto"/>
                      <w:kern w:val="0"/>
                      <w:sz w:val="24"/>
                      <w:highlight w:val="none"/>
                    </w:rPr>
                    <w:t>9.8</w:t>
                  </w:r>
                </w:p>
              </w:tc>
              <w:tc>
                <w:tcPr>
                  <w:tcW w:w="954" w:type="pct"/>
                  <w:vAlign w:val="center"/>
                </w:tcPr>
                <w:p>
                  <w:pPr>
                    <w:widowControl/>
                    <w:jc w:val="center"/>
                    <w:textAlignment w:val="center"/>
                    <w:rPr>
                      <w:rFonts w:eastAsia="Times New Roman"/>
                      <w:color w:val="auto"/>
                      <w:spacing w:val="9"/>
                      <w:position w:val="1"/>
                      <w:szCs w:val="21"/>
                      <w:highlight w:val="none"/>
                    </w:rPr>
                  </w:pPr>
                  <w:r>
                    <w:rPr>
                      <w:color w:val="auto"/>
                      <w:kern w:val="0"/>
                      <w:sz w:val="24"/>
                      <w:highlight w:val="none"/>
                    </w:rPr>
                    <w:t>2.9</w:t>
                  </w:r>
                </w:p>
              </w:tc>
              <w:tc>
                <w:tcPr>
                  <w:tcW w:w="467" w:type="pct"/>
                  <w:vAlign w:val="center"/>
                </w:tcPr>
                <w:p>
                  <w:pPr>
                    <w:widowControl/>
                    <w:jc w:val="center"/>
                    <w:textAlignment w:val="center"/>
                    <w:rPr>
                      <w:rFonts w:eastAsia="Times New Roman"/>
                      <w:color w:val="auto"/>
                      <w:spacing w:val="9"/>
                      <w:position w:val="1"/>
                      <w:szCs w:val="21"/>
                      <w:highlight w:val="none"/>
                    </w:rPr>
                  </w:pPr>
                  <w:r>
                    <w:rPr>
                      <w:color w:val="auto"/>
                      <w:kern w:val="0"/>
                      <w:sz w:val="24"/>
                      <w:highlight w:val="none"/>
                    </w:rPr>
                    <w:t>0.65</w:t>
                  </w:r>
                </w:p>
              </w:tc>
              <w:tc>
                <w:tcPr>
                  <w:tcW w:w="365" w:type="pct"/>
                  <w:tcBorders>
                    <w:right w:val="nil"/>
                  </w:tcBorders>
                  <w:vAlign w:val="center"/>
                </w:tcPr>
                <w:p>
                  <w:pPr>
                    <w:widowControl/>
                    <w:jc w:val="center"/>
                    <w:textAlignment w:val="center"/>
                    <w:rPr>
                      <w:rFonts w:eastAsia="Times New Roman"/>
                      <w:color w:val="auto"/>
                      <w:spacing w:val="9"/>
                      <w:position w:val="1"/>
                      <w:szCs w:val="21"/>
                      <w:highlight w:val="none"/>
                    </w:rPr>
                  </w:pPr>
                  <w:r>
                    <w:rPr>
                      <w:color w:val="auto"/>
                      <w:kern w:val="0"/>
                      <w:sz w:val="24"/>
                      <w:highlight w:val="none"/>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236" w:type="pct"/>
                  <w:tcBorders>
                    <w:left w:val="nil"/>
                  </w:tcBorders>
                </w:tcPr>
                <w:p>
                  <w:pPr>
                    <w:spacing w:before="62" w:line="195" w:lineRule="auto"/>
                    <w:jc w:val="center"/>
                    <w:rPr>
                      <w:rFonts w:eastAsia="Times New Roman"/>
                      <w:color w:val="auto"/>
                      <w:szCs w:val="21"/>
                      <w:highlight w:val="none"/>
                    </w:rPr>
                  </w:pPr>
                  <w:r>
                    <w:rPr>
                      <w:rFonts w:eastAsia="Times New Roman"/>
                      <w:color w:val="auto"/>
                      <w:spacing w:val="1"/>
                      <w:szCs w:val="21"/>
                      <w:highlight w:val="none"/>
                    </w:rPr>
                    <w:t>4</w:t>
                  </w:r>
                </w:p>
              </w:tc>
              <w:tc>
                <w:tcPr>
                  <w:tcW w:w="498" w:type="pct"/>
                </w:tcPr>
                <w:p>
                  <w:pPr>
                    <w:spacing w:before="26" w:line="227" w:lineRule="auto"/>
                    <w:jc w:val="center"/>
                    <w:rPr>
                      <w:color w:val="auto"/>
                      <w:szCs w:val="21"/>
                      <w:highlight w:val="none"/>
                    </w:rPr>
                  </w:pPr>
                  <w:r>
                    <w:rPr>
                      <w:color w:val="auto"/>
                      <w:spacing w:val="7"/>
                      <w:szCs w:val="21"/>
                      <w:highlight w:val="none"/>
                    </w:rPr>
                    <w:t>金</w:t>
                  </w:r>
                  <w:r>
                    <w:rPr>
                      <w:color w:val="auto"/>
                      <w:spacing w:val="6"/>
                      <w:szCs w:val="21"/>
                      <w:highlight w:val="none"/>
                    </w:rPr>
                    <w:t>鸡湖</w:t>
                  </w:r>
                </w:p>
              </w:tc>
              <w:tc>
                <w:tcPr>
                  <w:tcW w:w="672" w:type="pct"/>
                </w:tcPr>
                <w:p>
                  <w:pPr>
                    <w:spacing w:before="26" w:line="227" w:lineRule="auto"/>
                    <w:jc w:val="center"/>
                    <w:rPr>
                      <w:color w:val="auto"/>
                      <w:szCs w:val="21"/>
                      <w:highlight w:val="none"/>
                    </w:rPr>
                  </w:pPr>
                  <w:r>
                    <w:rPr>
                      <w:color w:val="auto"/>
                      <w:spacing w:val="7"/>
                      <w:szCs w:val="21"/>
                      <w:highlight w:val="none"/>
                    </w:rPr>
                    <w:t>金鸡湖</w:t>
                  </w:r>
                  <w:r>
                    <w:rPr>
                      <w:color w:val="auto"/>
                      <w:spacing w:val="6"/>
                      <w:szCs w:val="21"/>
                      <w:highlight w:val="none"/>
                    </w:rPr>
                    <w:t>中</w:t>
                  </w:r>
                </w:p>
              </w:tc>
              <w:tc>
                <w:tcPr>
                  <w:tcW w:w="640" w:type="pct"/>
                  <w:vAlign w:val="center"/>
                </w:tcPr>
                <w:p>
                  <w:pPr>
                    <w:widowControl/>
                    <w:jc w:val="center"/>
                    <w:textAlignment w:val="center"/>
                    <w:rPr>
                      <w:rFonts w:eastAsia="Times New Roman"/>
                      <w:color w:val="auto"/>
                      <w:szCs w:val="21"/>
                      <w:highlight w:val="none"/>
                    </w:rPr>
                  </w:pPr>
                  <w:r>
                    <w:rPr>
                      <w:color w:val="auto"/>
                      <w:kern w:val="0"/>
                      <w:sz w:val="24"/>
                      <w:highlight w:val="none"/>
                    </w:rPr>
                    <w:t>2024/3/6</w:t>
                  </w:r>
                </w:p>
              </w:tc>
              <w:tc>
                <w:tcPr>
                  <w:tcW w:w="679" w:type="pct"/>
                  <w:vAlign w:val="center"/>
                </w:tcPr>
                <w:p>
                  <w:pPr>
                    <w:widowControl/>
                    <w:jc w:val="center"/>
                    <w:textAlignment w:val="center"/>
                    <w:rPr>
                      <w:color w:val="auto"/>
                      <w:szCs w:val="21"/>
                      <w:highlight w:val="none"/>
                    </w:rPr>
                  </w:pPr>
                  <w:r>
                    <w:rPr>
                      <w:color w:val="auto"/>
                      <w:kern w:val="0"/>
                      <w:sz w:val="24"/>
                      <w:highlight w:val="none"/>
                    </w:rPr>
                    <w:t>8.0</w:t>
                  </w:r>
                </w:p>
              </w:tc>
              <w:tc>
                <w:tcPr>
                  <w:tcW w:w="483" w:type="pct"/>
                  <w:vAlign w:val="center"/>
                </w:tcPr>
                <w:p>
                  <w:pPr>
                    <w:widowControl/>
                    <w:jc w:val="center"/>
                    <w:textAlignment w:val="center"/>
                    <w:rPr>
                      <w:color w:val="auto"/>
                      <w:szCs w:val="21"/>
                      <w:highlight w:val="none"/>
                    </w:rPr>
                  </w:pPr>
                  <w:r>
                    <w:rPr>
                      <w:color w:val="auto"/>
                      <w:kern w:val="0"/>
                      <w:sz w:val="24"/>
                      <w:highlight w:val="none"/>
                    </w:rPr>
                    <w:t>11.1</w:t>
                  </w:r>
                </w:p>
              </w:tc>
              <w:tc>
                <w:tcPr>
                  <w:tcW w:w="954" w:type="pct"/>
                  <w:vAlign w:val="center"/>
                </w:tcPr>
                <w:p>
                  <w:pPr>
                    <w:widowControl/>
                    <w:jc w:val="center"/>
                    <w:textAlignment w:val="center"/>
                    <w:rPr>
                      <w:color w:val="auto"/>
                      <w:szCs w:val="21"/>
                      <w:highlight w:val="none"/>
                    </w:rPr>
                  </w:pPr>
                  <w:r>
                    <w:rPr>
                      <w:color w:val="auto"/>
                      <w:kern w:val="0"/>
                      <w:sz w:val="24"/>
                      <w:highlight w:val="none"/>
                    </w:rPr>
                    <w:t>2.5</w:t>
                  </w:r>
                </w:p>
              </w:tc>
              <w:tc>
                <w:tcPr>
                  <w:tcW w:w="467" w:type="pct"/>
                  <w:vAlign w:val="center"/>
                </w:tcPr>
                <w:p>
                  <w:pPr>
                    <w:widowControl/>
                    <w:jc w:val="center"/>
                    <w:textAlignment w:val="center"/>
                    <w:rPr>
                      <w:color w:val="auto"/>
                      <w:szCs w:val="21"/>
                      <w:highlight w:val="none"/>
                    </w:rPr>
                  </w:pPr>
                  <w:r>
                    <w:rPr>
                      <w:color w:val="auto"/>
                      <w:kern w:val="0"/>
                      <w:sz w:val="24"/>
                      <w:highlight w:val="none"/>
                    </w:rPr>
                    <w:t>0.03</w:t>
                  </w:r>
                </w:p>
              </w:tc>
              <w:tc>
                <w:tcPr>
                  <w:tcW w:w="365" w:type="pct"/>
                  <w:tcBorders>
                    <w:right w:val="nil"/>
                  </w:tcBorders>
                  <w:vAlign w:val="center"/>
                </w:tcPr>
                <w:p>
                  <w:pPr>
                    <w:widowControl/>
                    <w:jc w:val="center"/>
                    <w:textAlignment w:val="center"/>
                    <w:rPr>
                      <w:color w:val="auto"/>
                      <w:szCs w:val="21"/>
                      <w:highlight w:val="none"/>
                    </w:rPr>
                  </w:pPr>
                  <w:r>
                    <w:rPr>
                      <w:color w:val="auto"/>
                      <w:kern w:val="0"/>
                      <w:sz w:val="24"/>
                      <w:highlight w:val="none"/>
                    </w:rPr>
                    <w:t>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jc w:val="center"/>
              </w:trPr>
              <w:tc>
                <w:tcPr>
                  <w:tcW w:w="236" w:type="pct"/>
                  <w:tcBorders>
                    <w:left w:val="nil"/>
                  </w:tcBorders>
                </w:tcPr>
                <w:p>
                  <w:pPr>
                    <w:spacing w:before="68" w:line="192" w:lineRule="auto"/>
                    <w:jc w:val="center"/>
                    <w:rPr>
                      <w:rFonts w:eastAsia="Times New Roman"/>
                      <w:color w:val="auto"/>
                      <w:szCs w:val="21"/>
                      <w:highlight w:val="none"/>
                    </w:rPr>
                  </w:pPr>
                  <w:r>
                    <w:rPr>
                      <w:rFonts w:eastAsia="Times New Roman"/>
                      <w:color w:val="auto"/>
                      <w:szCs w:val="21"/>
                      <w:highlight w:val="none"/>
                    </w:rPr>
                    <w:t>5</w:t>
                  </w:r>
                </w:p>
              </w:tc>
              <w:tc>
                <w:tcPr>
                  <w:tcW w:w="498" w:type="pct"/>
                </w:tcPr>
                <w:p>
                  <w:pPr>
                    <w:spacing w:before="29" w:line="231" w:lineRule="auto"/>
                    <w:jc w:val="center"/>
                    <w:rPr>
                      <w:color w:val="auto"/>
                      <w:szCs w:val="21"/>
                      <w:highlight w:val="none"/>
                    </w:rPr>
                  </w:pPr>
                  <w:r>
                    <w:rPr>
                      <w:color w:val="auto"/>
                      <w:spacing w:val="7"/>
                      <w:szCs w:val="21"/>
                      <w:highlight w:val="none"/>
                    </w:rPr>
                    <w:t>独墅</w:t>
                  </w:r>
                  <w:r>
                    <w:rPr>
                      <w:color w:val="auto"/>
                      <w:spacing w:val="6"/>
                      <w:szCs w:val="21"/>
                      <w:highlight w:val="none"/>
                    </w:rPr>
                    <w:t>湖</w:t>
                  </w:r>
                </w:p>
              </w:tc>
              <w:tc>
                <w:tcPr>
                  <w:tcW w:w="672" w:type="pct"/>
                </w:tcPr>
                <w:p>
                  <w:pPr>
                    <w:spacing w:before="30" w:line="229" w:lineRule="auto"/>
                    <w:jc w:val="center"/>
                    <w:rPr>
                      <w:color w:val="auto"/>
                      <w:szCs w:val="21"/>
                      <w:highlight w:val="none"/>
                    </w:rPr>
                  </w:pPr>
                  <w:r>
                    <w:rPr>
                      <w:color w:val="auto"/>
                      <w:spacing w:val="8"/>
                      <w:szCs w:val="21"/>
                      <w:highlight w:val="none"/>
                    </w:rPr>
                    <w:t>独</w:t>
                  </w:r>
                  <w:r>
                    <w:rPr>
                      <w:color w:val="auto"/>
                      <w:spacing w:val="7"/>
                      <w:szCs w:val="21"/>
                      <w:highlight w:val="none"/>
                    </w:rPr>
                    <w:t>墅湖中</w:t>
                  </w:r>
                </w:p>
              </w:tc>
              <w:tc>
                <w:tcPr>
                  <w:tcW w:w="640" w:type="pct"/>
                  <w:vAlign w:val="center"/>
                </w:tcPr>
                <w:p>
                  <w:pPr>
                    <w:widowControl/>
                    <w:jc w:val="center"/>
                    <w:textAlignment w:val="center"/>
                    <w:rPr>
                      <w:rFonts w:eastAsia="Times New Roman"/>
                      <w:color w:val="auto"/>
                      <w:szCs w:val="21"/>
                      <w:highlight w:val="none"/>
                    </w:rPr>
                  </w:pPr>
                  <w:r>
                    <w:rPr>
                      <w:color w:val="auto"/>
                      <w:kern w:val="0"/>
                      <w:sz w:val="24"/>
                      <w:highlight w:val="none"/>
                    </w:rPr>
                    <w:t>2024/3/6</w:t>
                  </w:r>
                </w:p>
              </w:tc>
              <w:tc>
                <w:tcPr>
                  <w:tcW w:w="679" w:type="pct"/>
                  <w:vAlign w:val="center"/>
                </w:tcPr>
                <w:p>
                  <w:pPr>
                    <w:widowControl/>
                    <w:jc w:val="center"/>
                    <w:textAlignment w:val="center"/>
                    <w:rPr>
                      <w:color w:val="auto"/>
                      <w:szCs w:val="21"/>
                      <w:highlight w:val="none"/>
                    </w:rPr>
                  </w:pPr>
                  <w:r>
                    <w:rPr>
                      <w:color w:val="auto"/>
                      <w:kern w:val="0"/>
                      <w:sz w:val="24"/>
                      <w:highlight w:val="none"/>
                    </w:rPr>
                    <w:t>8.0</w:t>
                  </w:r>
                </w:p>
              </w:tc>
              <w:tc>
                <w:tcPr>
                  <w:tcW w:w="483" w:type="pct"/>
                  <w:vAlign w:val="center"/>
                </w:tcPr>
                <w:p>
                  <w:pPr>
                    <w:widowControl/>
                    <w:jc w:val="center"/>
                    <w:textAlignment w:val="center"/>
                    <w:rPr>
                      <w:color w:val="auto"/>
                      <w:szCs w:val="21"/>
                      <w:highlight w:val="none"/>
                    </w:rPr>
                  </w:pPr>
                  <w:r>
                    <w:rPr>
                      <w:color w:val="auto"/>
                      <w:kern w:val="0"/>
                      <w:sz w:val="24"/>
                      <w:highlight w:val="none"/>
                    </w:rPr>
                    <w:t>10.0</w:t>
                  </w:r>
                </w:p>
              </w:tc>
              <w:tc>
                <w:tcPr>
                  <w:tcW w:w="954" w:type="pct"/>
                  <w:vAlign w:val="center"/>
                </w:tcPr>
                <w:p>
                  <w:pPr>
                    <w:widowControl/>
                    <w:jc w:val="center"/>
                    <w:textAlignment w:val="center"/>
                    <w:rPr>
                      <w:color w:val="auto"/>
                      <w:szCs w:val="21"/>
                      <w:highlight w:val="none"/>
                    </w:rPr>
                  </w:pPr>
                  <w:r>
                    <w:rPr>
                      <w:color w:val="auto"/>
                      <w:kern w:val="0"/>
                      <w:sz w:val="24"/>
                      <w:highlight w:val="none"/>
                    </w:rPr>
                    <w:t>2.6</w:t>
                  </w:r>
                </w:p>
              </w:tc>
              <w:tc>
                <w:tcPr>
                  <w:tcW w:w="467" w:type="pct"/>
                  <w:vAlign w:val="center"/>
                </w:tcPr>
                <w:p>
                  <w:pPr>
                    <w:widowControl/>
                    <w:jc w:val="center"/>
                    <w:textAlignment w:val="center"/>
                    <w:rPr>
                      <w:color w:val="auto"/>
                      <w:szCs w:val="21"/>
                      <w:highlight w:val="none"/>
                    </w:rPr>
                  </w:pPr>
                  <w:r>
                    <w:rPr>
                      <w:color w:val="auto"/>
                      <w:kern w:val="0"/>
                      <w:sz w:val="24"/>
                      <w:highlight w:val="none"/>
                    </w:rPr>
                    <w:t>0.06</w:t>
                  </w:r>
                </w:p>
              </w:tc>
              <w:tc>
                <w:tcPr>
                  <w:tcW w:w="365" w:type="pct"/>
                  <w:tcBorders>
                    <w:right w:val="nil"/>
                  </w:tcBorders>
                  <w:vAlign w:val="center"/>
                </w:tcPr>
                <w:p>
                  <w:pPr>
                    <w:widowControl/>
                    <w:jc w:val="center"/>
                    <w:textAlignment w:val="center"/>
                    <w:rPr>
                      <w:color w:val="auto"/>
                      <w:szCs w:val="21"/>
                      <w:highlight w:val="none"/>
                    </w:rPr>
                  </w:pPr>
                  <w:r>
                    <w:rPr>
                      <w:color w:val="auto"/>
                      <w:kern w:val="0"/>
                      <w:sz w:val="24"/>
                      <w:highlight w:val="none"/>
                    </w:rPr>
                    <w:t>0.02</w:t>
                  </w:r>
                </w:p>
              </w:tc>
            </w:tr>
          </w:tbl>
          <w:p>
            <w:pPr>
              <w:spacing w:line="360" w:lineRule="auto"/>
              <w:ind w:firstLine="480" w:firstLineChars="200"/>
              <w:rPr>
                <w:bCs/>
                <w:color w:val="auto"/>
                <w:sz w:val="24"/>
                <w:highlight w:val="none"/>
              </w:rPr>
            </w:pPr>
            <w:r>
              <w:rPr>
                <w:bCs/>
                <w:color w:val="auto"/>
                <w:sz w:val="24"/>
                <w:highlight w:val="none"/>
              </w:rPr>
              <w:t>由上表可知，区域内娄江、吴淞江、金鸡湖、独墅湖水体能够满足《地表水环境质量标准》(GB3838-2002)中Ⅳ类标准要求，阳澄湖能够满足《地表水环境质量标准》(GB3838-2002)中Ⅲ类标准要求。</w:t>
            </w:r>
          </w:p>
          <w:p>
            <w:pPr>
              <w:spacing w:line="360" w:lineRule="auto"/>
              <w:ind w:firstLine="480" w:firstLineChars="200"/>
              <w:rPr>
                <w:bCs/>
                <w:color w:val="auto"/>
                <w:sz w:val="24"/>
                <w:highlight w:val="none"/>
              </w:rPr>
            </w:pPr>
            <w:r>
              <w:rPr>
                <w:bCs/>
                <w:color w:val="auto"/>
                <w:sz w:val="24"/>
                <w:highlight w:val="none"/>
              </w:rPr>
              <w:t>另本次委托欧宜检测认证服务（苏州）有限公司于2024年4月1日~4月3日对扬东路西延段道路与外塘河交界处W1进行监测，详见表3-3。监测点位图见附图2周围概况图。</w:t>
            </w:r>
          </w:p>
          <w:p>
            <w:pPr>
              <w:spacing w:line="480" w:lineRule="exact"/>
              <w:ind w:firstLine="482" w:firstLineChars="200"/>
              <w:jc w:val="center"/>
              <w:rPr>
                <w:b/>
                <w:bCs/>
                <w:color w:val="auto"/>
                <w:sz w:val="24"/>
                <w:highlight w:val="none"/>
              </w:rPr>
            </w:pPr>
            <w:r>
              <w:rPr>
                <w:b/>
                <w:bCs/>
                <w:color w:val="auto"/>
                <w:sz w:val="24"/>
                <w:highlight w:val="none"/>
              </w:rPr>
              <w:t>表3-</w:t>
            </w:r>
            <w:r>
              <w:rPr>
                <w:rFonts w:hint="eastAsia"/>
                <w:b/>
                <w:bCs/>
                <w:color w:val="auto"/>
                <w:sz w:val="24"/>
                <w:highlight w:val="none"/>
              </w:rPr>
              <w:t>3</w:t>
            </w:r>
            <w:r>
              <w:rPr>
                <w:b/>
                <w:bCs/>
                <w:color w:val="auto"/>
                <w:sz w:val="24"/>
                <w:highlight w:val="none"/>
              </w:rPr>
              <w:t>地表水环境质量现状监测断面</w:t>
            </w:r>
          </w:p>
          <w:tbl>
            <w:tblPr>
              <w:tblStyle w:val="18"/>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0" w:type="dxa"/>
                <w:bottom w:w="0" w:type="dxa"/>
                <w:right w:w="20" w:type="dxa"/>
              </w:tblCellMar>
            </w:tblPr>
            <w:tblGrid>
              <w:gridCol w:w="1213"/>
              <w:gridCol w:w="3352"/>
              <w:gridCol w:w="2144"/>
              <w:gridCol w:w="11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0" w:type="dxa"/>
                  <w:bottom w:w="0" w:type="dxa"/>
                  <w:right w:w="20" w:type="dxa"/>
                </w:tblCellMar>
              </w:tblPrEx>
              <w:trPr>
                <w:trHeight w:val="283" w:hRule="atLeast"/>
                <w:jc w:val="center"/>
              </w:trPr>
              <w:tc>
                <w:tcPr>
                  <w:tcW w:w="772" w:type="pct"/>
                  <w:vAlign w:val="center"/>
                </w:tcPr>
                <w:p>
                  <w:pPr>
                    <w:spacing w:line="320" w:lineRule="exact"/>
                    <w:jc w:val="center"/>
                    <w:rPr>
                      <w:b/>
                      <w:bCs/>
                      <w:color w:val="auto"/>
                      <w:szCs w:val="21"/>
                      <w:highlight w:val="none"/>
                    </w:rPr>
                  </w:pPr>
                  <w:r>
                    <w:rPr>
                      <w:b/>
                      <w:bCs/>
                      <w:color w:val="auto"/>
                      <w:szCs w:val="21"/>
                      <w:highlight w:val="none"/>
                    </w:rPr>
                    <w:t>点位编号</w:t>
                  </w:r>
                </w:p>
              </w:tc>
              <w:tc>
                <w:tcPr>
                  <w:tcW w:w="2131" w:type="pct"/>
                  <w:vAlign w:val="center"/>
                </w:tcPr>
                <w:p>
                  <w:pPr>
                    <w:spacing w:line="320" w:lineRule="exact"/>
                    <w:jc w:val="center"/>
                    <w:rPr>
                      <w:b/>
                      <w:bCs/>
                      <w:color w:val="auto"/>
                      <w:szCs w:val="21"/>
                      <w:highlight w:val="none"/>
                    </w:rPr>
                  </w:pPr>
                  <w:r>
                    <w:rPr>
                      <w:b/>
                      <w:bCs/>
                      <w:color w:val="auto"/>
                      <w:szCs w:val="21"/>
                      <w:highlight w:val="none"/>
                    </w:rPr>
                    <w:t>监测点位置</w:t>
                  </w:r>
                </w:p>
              </w:tc>
              <w:tc>
                <w:tcPr>
                  <w:tcW w:w="1363" w:type="pct"/>
                  <w:vAlign w:val="center"/>
                </w:tcPr>
                <w:p>
                  <w:pPr>
                    <w:spacing w:line="320" w:lineRule="exact"/>
                    <w:jc w:val="center"/>
                    <w:rPr>
                      <w:b/>
                      <w:bCs/>
                      <w:color w:val="auto"/>
                      <w:szCs w:val="21"/>
                      <w:highlight w:val="none"/>
                    </w:rPr>
                  </w:pPr>
                  <w:r>
                    <w:rPr>
                      <w:b/>
                      <w:bCs/>
                      <w:color w:val="auto"/>
                      <w:szCs w:val="21"/>
                      <w:highlight w:val="none"/>
                    </w:rPr>
                    <w:t>监测因子</w:t>
                  </w:r>
                </w:p>
              </w:tc>
              <w:tc>
                <w:tcPr>
                  <w:tcW w:w="732" w:type="pct"/>
                  <w:vAlign w:val="center"/>
                </w:tcPr>
                <w:p>
                  <w:pPr>
                    <w:spacing w:line="320" w:lineRule="exact"/>
                    <w:jc w:val="center"/>
                    <w:rPr>
                      <w:b/>
                      <w:bCs/>
                      <w:color w:val="auto"/>
                      <w:szCs w:val="21"/>
                      <w:highlight w:val="none"/>
                    </w:rPr>
                  </w:pPr>
                  <w:r>
                    <w:rPr>
                      <w:b/>
                      <w:bCs/>
                      <w:color w:val="auto"/>
                      <w:szCs w:val="21"/>
                      <w:highlight w:val="none"/>
                    </w:rPr>
                    <w:t>功能类别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0" w:type="dxa"/>
                  <w:bottom w:w="0" w:type="dxa"/>
                  <w:right w:w="20" w:type="dxa"/>
                </w:tblCellMar>
              </w:tblPrEx>
              <w:trPr>
                <w:jc w:val="center"/>
              </w:trPr>
              <w:tc>
                <w:tcPr>
                  <w:tcW w:w="772" w:type="pct"/>
                  <w:vAlign w:val="center"/>
                </w:tcPr>
                <w:p>
                  <w:pPr>
                    <w:spacing w:line="320" w:lineRule="exact"/>
                    <w:jc w:val="center"/>
                    <w:rPr>
                      <w:color w:val="auto"/>
                      <w:szCs w:val="21"/>
                      <w:highlight w:val="none"/>
                    </w:rPr>
                  </w:pPr>
                  <w:r>
                    <w:rPr>
                      <w:color w:val="auto"/>
                      <w:szCs w:val="21"/>
                      <w:highlight w:val="none"/>
                    </w:rPr>
                    <w:t>W1</w:t>
                  </w:r>
                </w:p>
              </w:tc>
              <w:tc>
                <w:tcPr>
                  <w:tcW w:w="2131" w:type="pct"/>
                  <w:vAlign w:val="center"/>
                </w:tcPr>
                <w:p>
                  <w:pPr>
                    <w:jc w:val="center"/>
                    <w:rPr>
                      <w:color w:val="auto"/>
                      <w:szCs w:val="21"/>
                      <w:highlight w:val="none"/>
                    </w:rPr>
                  </w:pPr>
                  <w:r>
                    <w:rPr>
                      <w:rFonts w:hint="eastAsia"/>
                      <w:color w:val="auto"/>
                      <w:szCs w:val="21"/>
                      <w:highlight w:val="none"/>
                    </w:rPr>
                    <w:t>扬东路西延段道路与外塘河交界处</w:t>
                  </w:r>
                </w:p>
              </w:tc>
              <w:tc>
                <w:tcPr>
                  <w:tcW w:w="1363" w:type="pct"/>
                  <w:vAlign w:val="center"/>
                </w:tcPr>
                <w:p>
                  <w:pPr>
                    <w:spacing w:line="320" w:lineRule="exact"/>
                    <w:jc w:val="center"/>
                    <w:rPr>
                      <w:color w:val="auto"/>
                      <w:szCs w:val="21"/>
                      <w:highlight w:val="none"/>
                    </w:rPr>
                  </w:pPr>
                  <w:r>
                    <w:rPr>
                      <w:color w:val="auto"/>
                      <w:szCs w:val="21"/>
                      <w:highlight w:val="none"/>
                    </w:rPr>
                    <w:t>pH、COD、氨氮、悬浮物、总磷、石油类</w:t>
                  </w:r>
                </w:p>
              </w:tc>
              <w:tc>
                <w:tcPr>
                  <w:tcW w:w="732" w:type="pct"/>
                  <w:vAlign w:val="center"/>
                </w:tcPr>
                <w:p>
                  <w:pPr>
                    <w:spacing w:line="320" w:lineRule="exact"/>
                    <w:jc w:val="center"/>
                    <w:rPr>
                      <w:color w:val="auto"/>
                      <w:szCs w:val="21"/>
                      <w:highlight w:val="none"/>
                    </w:rPr>
                  </w:pPr>
                  <w:r>
                    <w:rPr>
                      <w:color w:val="auto"/>
                      <w:szCs w:val="21"/>
                      <w:highlight w:val="none"/>
                    </w:rPr>
                    <w:t>IV类</w:t>
                  </w:r>
                </w:p>
              </w:tc>
            </w:tr>
          </w:tbl>
          <w:p>
            <w:pPr>
              <w:spacing w:line="360" w:lineRule="auto"/>
              <w:ind w:firstLine="480" w:firstLineChars="200"/>
              <w:rPr>
                <w:bCs/>
                <w:color w:val="auto"/>
                <w:sz w:val="24"/>
                <w:highlight w:val="none"/>
              </w:rPr>
            </w:pPr>
            <w:r>
              <w:rPr>
                <w:rFonts w:hint="eastAsia"/>
                <w:bCs/>
                <w:color w:val="auto"/>
                <w:sz w:val="24"/>
                <w:highlight w:val="none"/>
              </w:rPr>
              <w:t>1）监测因子</w:t>
            </w:r>
          </w:p>
          <w:p>
            <w:pPr>
              <w:spacing w:line="360" w:lineRule="auto"/>
              <w:ind w:firstLine="480" w:firstLineChars="200"/>
              <w:rPr>
                <w:bCs/>
                <w:color w:val="auto"/>
                <w:sz w:val="24"/>
                <w:highlight w:val="none"/>
              </w:rPr>
            </w:pPr>
            <w:r>
              <w:rPr>
                <w:rFonts w:hint="eastAsia"/>
                <w:bCs/>
                <w:color w:val="auto"/>
                <w:sz w:val="24"/>
                <w:highlight w:val="none"/>
              </w:rPr>
              <w:t>pH、悬浮物、化学需氧量（COD）、氨氮、总磷、石油类。</w:t>
            </w:r>
          </w:p>
          <w:p>
            <w:pPr>
              <w:spacing w:line="360" w:lineRule="auto"/>
              <w:ind w:firstLine="480" w:firstLineChars="200"/>
              <w:rPr>
                <w:bCs/>
                <w:color w:val="auto"/>
                <w:sz w:val="24"/>
                <w:highlight w:val="none"/>
              </w:rPr>
            </w:pPr>
            <w:r>
              <w:rPr>
                <w:rFonts w:hint="eastAsia"/>
                <w:bCs/>
                <w:color w:val="auto"/>
                <w:sz w:val="24"/>
                <w:highlight w:val="none"/>
              </w:rPr>
              <w:t>2）监测时间和频次</w:t>
            </w:r>
          </w:p>
          <w:p>
            <w:pPr>
              <w:spacing w:line="360" w:lineRule="auto"/>
              <w:ind w:firstLine="480" w:firstLineChars="200"/>
              <w:rPr>
                <w:bCs/>
                <w:color w:val="auto"/>
                <w:sz w:val="24"/>
                <w:highlight w:val="none"/>
              </w:rPr>
            </w:pPr>
            <w:r>
              <w:rPr>
                <w:rFonts w:hint="eastAsia"/>
                <w:bCs/>
                <w:color w:val="auto"/>
                <w:sz w:val="24"/>
                <w:highlight w:val="none"/>
              </w:rPr>
              <w:t>监测时间为2024年4月1日~4月3日，监测3天，每天监测1次。</w:t>
            </w:r>
          </w:p>
          <w:p>
            <w:pPr>
              <w:spacing w:line="360" w:lineRule="auto"/>
              <w:ind w:firstLine="480" w:firstLineChars="200"/>
              <w:rPr>
                <w:bCs/>
                <w:color w:val="auto"/>
                <w:sz w:val="24"/>
                <w:highlight w:val="none"/>
              </w:rPr>
            </w:pPr>
            <w:r>
              <w:rPr>
                <w:rFonts w:hint="eastAsia"/>
                <w:bCs/>
                <w:color w:val="auto"/>
                <w:sz w:val="24"/>
                <w:highlight w:val="none"/>
              </w:rPr>
              <w:t>3）采样及分析方法</w:t>
            </w:r>
          </w:p>
          <w:p>
            <w:pPr>
              <w:spacing w:line="360" w:lineRule="auto"/>
              <w:ind w:firstLine="480" w:firstLineChars="200"/>
              <w:rPr>
                <w:bCs/>
                <w:color w:val="auto"/>
                <w:sz w:val="24"/>
                <w:highlight w:val="none"/>
              </w:rPr>
            </w:pPr>
            <w:r>
              <w:rPr>
                <w:rFonts w:hint="eastAsia"/>
                <w:bCs/>
                <w:color w:val="auto"/>
                <w:sz w:val="24"/>
                <w:highlight w:val="none"/>
              </w:rPr>
              <w:t>采样和分析方法按照国家环保局颁布的《环境监测技术规范》和《环境监测分析方法》的有关要求和规定进行。</w:t>
            </w:r>
          </w:p>
          <w:p>
            <w:pPr>
              <w:spacing w:line="360" w:lineRule="auto"/>
              <w:ind w:firstLine="480" w:firstLineChars="200"/>
              <w:rPr>
                <w:bCs/>
                <w:color w:val="auto"/>
                <w:sz w:val="24"/>
                <w:highlight w:val="none"/>
              </w:rPr>
            </w:pPr>
            <w:r>
              <w:rPr>
                <w:rFonts w:hint="eastAsia"/>
                <w:bCs/>
                <w:color w:val="auto"/>
                <w:sz w:val="24"/>
                <w:highlight w:val="none"/>
              </w:rPr>
              <w:t>4）地表水环境质量现状监测及评价</w:t>
            </w:r>
          </w:p>
          <w:p>
            <w:pPr>
              <w:spacing w:line="360" w:lineRule="auto"/>
              <w:ind w:firstLine="480" w:firstLineChars="200"/>
              <w:rPr>
                <w:bCs/>
                <w:color w:val="auto"/>
                <w:sz w:val="24"/>
                <w:highlight w:val="none"/>
              </w:rPr>
            </w:pPr>
            <w:r>
              <w:rPr>
                <w:rFonts w:hint="eastAsia"/>
                <w:bCs/>
                <w:color w:val="auto"/>
                <w:sz w:val="24"/>
                <w:highlight w:val="none"/>
              </w:rPr>
              <w:t>根据检测报告，评价结果汇总见表3-4。</w:t>
            </w:r>
          </w:p>
          <w:p>
            <w:pPr>
              <w:pStyle w:val="25"/>
              <w:spacing w:beforeLines="0" w:line="400" w:lineRule="atLeast"/>
              <w:ind w:firstLine="0" w:firstLineChars="0"/>
              <w:jc w:val="center"/>
              <w:rPr>
                <w:rFonts w:cs="Times New Roman"/>
                <w:b/>
                <w:bCs/>
                <w:color w:val="auto"/>
                <w:highlight w:val="none"/>
              </w:rPr>
            </w:pPr>
            <w:r>
              <w:rPr>
                <w:rFonts w:cs="Times New Roman"/>
                <w:b/>
                <w:bCs/>
                <w:color w:val="auto"/>
                <w:highlight w:val="none"/>
              </w:rPr>
              <w:t>表3-</w:t>
            </w:r>
            <w:r>
              <w:rPr>
                <w:rFonts w:hint="eastAsia" w:cs="Times New Roman"/>
                <w:b/>
                <w:bCs/>
                <w:color w:val="auto"/>
                <w:highlight w:val="none"/>
              </w:rPr>
              <w:t>4</w:t>
            </w:r>
            <w:r>
              <w:rPr>
                <w:rFonts w:cs="Times New Roman"/>
                <w:b/>
                <w:bCs/>
                <w:color w:val="auto"/>
                <w:highlight w:val="none"/>
              </w:rPr>
              <w:t>地表水环境质量监测数据</w:t>
            </w:r>
          </w:p>
          <w:tbl>
            <w:tblPr>
              <w:tblStyle w:val="18"/>
              <w:tblW w:w="505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907"/>
              <w:gridCol w:w="1131"/>
              <w:gridCol w:w="736"/>
              <w:gridCol w:w="685"/>
              <w:gridCol w:w="674"/>
              <w:gridCol w:w="685"/>
              <w:gridCol w:w="963"/>
              <w:gridCol w:w="8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830" w:type="pct"/>
                  <w:tcMar>
                    <w:left w:w="20" w:type="dxa"/>
                    <w:right w:w="20" w:type="dxa"/>
                  </w:tcMar>
                  <w:vAlign w:val="center"/>
                </w:tcPr>
                <w:p>
                  <w:pPr>
                    <w:jc w:val="center"/>
                    <w:rPr>
                      <w:b/>
                      <w:bCs/>
                      <w:color w:val="auto"/>
                      <w:szCs w:val="21"/>
                      <w:highlight w:val="none"/>
                    </w:rPr>
                  </w:pPr>
                  <w:r>
                    <w:rPr>
                      <w:b/>
                      <w:bCs/>
                      <w:color w:val="auto"/>
                      <w:szCs w:val="21"/>
                      <w:highlight w:val="none"/>
                    </w:rPr>
                    <w:t>监测断面</w:t>
                  </w:r>
                </w:p>
              </w:tc>
              <w:tc>
                <w:tcPr>
                  <w:tcW w:w="570" w:type="pct"/>
                  <w:tcMar>
                    <w:left w:w="20" w:type="dxa"/>
                    <w:right w:w="20" w:type="dxa"/>
                  </w:tcMar>
                  <w:vAlign w:val="center"/>
                </w:tcPr>
                <w:p>
                  <w:pPr>
                    <w:jc w:val="center"/>
                    <w:rPr>
                      <w:b/>
                      <w:bCs/>
                      <w:color w:val="auto"/>
                      <w:szCs w:val="21"/>
                      <w:highlight w:val="none"/>
                    </w:rPr>
                  </w:pPr>
                  <w:r>
                    <w:rPr>
                      <w:rFonts w:hint="eastAsia"/>
                      <w:b/>
                      <w:bCs/>
                      <w:color w:val="auto"/>
                      <w:szCs w:val="21"/>
                      <w:highlight w:val="none"/>
                    </w:rPr>
                    <w:t>采样时间</w:t>
                  </w:r>
                </w:p>
              </w:tc>
              <w:tc>
                <w:tcPr>
                  <w:tcW w:w="710" w:type="pct"/>
                  <w:tcMar>
                    <w:left w:w="20" w:type="dxa"/>
                    <w:right w:w="20" w:type="dxa"/>
                  </w:tcMar>
                  <w:vAlign w:val="center"/>
                </w:tcPr>
                <w:p>
                  <w:pPr>
                    <w:jc w:val="center"/>
                    <w:rPr>
                      <w:b/>
                      <w:bCs/>
                      <w:color w:val="auto"/>
                      <w:szCs w:val="21"/>
                      <w:highlight w:val="none"/>
                    </w:rPr>
                  </w:pPr>
                  <w:r>
                    <w:rPr>
                      <w:b/>
                      <w:bCs/>
                      <w:color w:val="auto"/>
                      <w:szCs w:val="21"/>
                      <w:highlight w:val="none"/>
                    </w:rPr>
                    <w:t>项目</w:t>
                  </w:r>
                </w:p>
              </w:tc>
              <w:tc>
                <w:tcPr>
                  <w:tcW w:w="463" w:type="pct"/>
                  <w:tcMar>
                    <w:left w:w="20" w:type="dxa"/>
                    <w:right w:w="20" w:type="dxa"/>
                  </w:tcMar>
                  <w:vAlign w:val="center"/>
                </w:tcPr>
                <w:p>
                  <w:pPr>
                    <w:pStyle w:val="28"/>
                    <w:widowControl w:val="0"/>
                    <w:pBdr>
                      <w:bottom w:val="none" w:color="auto" w:sz="0" w:space="0"/>
                    </w:pBdr>
                    <w:spacing w:before="0" w:after="0"/>
                    <w:rPr>
                      <w:rFonts w:ascii="Times New Roman" w:hAnsi="Times New Roman"/>
                      <w:b/>
                      <w:bCs/>
                      <w:color w:val="auto"/>
                      <w:szCs w:val="21"/>
                      <w:highlight w:val="none"/>
                    </w:rPr>
                  </w:pPr>
                  <w:r>
                    <w:rPr>
                      <w:rFonts w:ascii="Times New Roman" w:hAnsi="Times New Roman"/>
                      <w:b/>
                      <w:bCs/>
                      <w:color w:val="auto"/>
                      <w:szCs w:val="21"/>
                      <w:highlight w:val="none"/>
                    </w:rPr>
                    <w:t>pH（无量纲）</w:t>
                  </w:r>
                </w:p>
              </w:tc>
              <w:tc>
                <w:tcPr>
                  <w:tcW w:w="431" w:type="pct"/>
                  <w:tcMar>
                    <w:left w:w="20" w:type="dxa"/>
                    <w:right w:w="20" w:type="dxa"/>
                  </w:tcMar>
                  <w:vAlign w:val="center"/>
                </w:tcPr>
                <w:p>
                  <w:pPr>
                    <w:pStyle w:val="28"/>
                    <w:widowControl w:val="0"/>
                    <w:pBdr>
                      <w:bottom w:val="none" w:color="auto" w:sz="0" w:space="0"/>
                    </w:pBdr>
                    <w:spacing w:before="0" w:after="0"/>
                    <w:rPr>
                      <w:rFonts w:ascii="Times New Roman" w:hAnsi="Times New Roman"/>
                      <w:b/>
                      <w:bCs/>
                      <w:color w:val="auto"/>
                      <w:szCs w:val="21"/>
                      <w:highlight w:val="none"/>
                    </w:rPr>
                  </w:pPr>
                  <w:r>
                    <w:rPr>
                      <w:rFonts w:hint="eastAsia" w:ascii="Times New Roman" w:hAnsi="Times New Roman"/>
                      <w:b/>
                      <w:bCs/>
                      <w:color w:val="auto"/>
                      <w:szCs w:val="21"/>
                      <w:highlight w:val="none"/>
                    </w:rPr>
                    <w:t>悬浮物</w:t>
                  </w:r>
                </w:p>
              </w:tc>
              <w:tc>
                <w:tcPr>
                  <w:tcW w:w="424" w:type="pct"/>
                  <w:tcMar>
                    <w:left w:w="20" w:type="dxa"/>
                    <w:right w:w="20" w:type="dxa"/>
                  </w:tcMar>
                  <w:vAlign w:val="center"/>
                </w:tcPr>
                <w:p>
                  <w:pPr>
                    <w:pStyle w:val="28"/>
                    <w:widowControl w:val="0"/>
                    <w:pBdr>
                      <w:bottom w:val="none" w:color="auto" w:sz="0" w:space="0"/>
                    </w:pBdr>
                    <w:spacing w:before="0" w:after="0"/>
                    <w:rPr>
                      <w:rFonts w:ascii="Times New Roman" w:hAnsi="Times New Roman"/>
                      <w:b/>
                      <w:bCs/>
                      <w:color w:val="auto"/>
                      <w:szCs w:val="21"/>
                      <w:highlight w:val="none"/>
                    </w:rPr>
                  </w:pPr>
                  <w:r>
                    <w:rPr>
                      <w:rFonts w:ascii="Times New Roman" w:hAnsi="Times New Roman"/>
                      <w:b/>
                      <w:bCs/>
                      <w:color w:val="auto"/>
                      <w:szCs w:val="21"/>
                      <w:highlight w:val="none"/>
                    </w:rPr>
                    <w:t>化学需氧量</w:t>
                  </w:r>
                </w:p>
              </w:tc>
              <w:tc>
                <w:tcPr>
                  <w:tcW w:w="431" w:type="pct"/>
                  <w:tcMar>
                    <w:left w:w="20" w:type="dxa"/>
                    <w:right w:w="20" w:type="dxa"/>
                  </w:tcMar>
                  <w:vAlign w:val="center"/>
                </w:tcPr>
                <w:p>
                  <w:pPr>
                    <w:jc w:val="center"/>
                    <w:rPr>
                      <w:b/>
                      <w:bCs/>
                      <w:color w:val="auto"/>
                      <w:szCs w:val="21"/>
                      <w:highlight w:val="none"/>
                    </w:rPr>
                  </w:pPr>
                  <w:r>
                    <w:rPr>
                      <w:b/>
                      <w:bCs/>
                      <w:color w:val="auto"/>
                      <w:szCs w:val="21"/>
                      <w:highlight w:val="none"/>
                    </w:rPr>
                    <w:t>氨氮</w:t>
                  </w:r>
                </w:p>
              </w:tc>
              <w:tc>
                <w:tcPr>
                  <w:tcW w:w="606" w:type="pct"/>
                  <w:vAlign w:val="center"/>
                </w:tcPr>
                <w:p>
                  <w:pPr>
                    <w:jc w:val="center"/>
                    <w:rPr>
                      <w:b/>
                      <w:bCs/>
                      <w:color w:val="auto"/>
                      <w:szCs w:val="21"/>
                      <w:highlight w:val="none"/>
                    </w:rPr>
                  </w:pPr>
                  <w:r>
                    <w:rPr>
                      <w:b/>
                      <w:bCs/>
                      <w:color w:val="auto"/>
                      <w:szCs w:val="21"/>
                      <w:highlight w:val="none"/>
                    </w:rPr>
                    <w:t>总磷</w:t>
                  </w:r>
                </w:p>
              </w:tc>
              <w:tc>
                <w:tcPr>
                  <w:tcW w:w="531" w:type="pct"/>
                  <w:vAlign w:val="center"/>
                </w:tcPr>
                <w:p>
                  <w:pPr>
                    <w:jc w:val="center"/>
                    <w:rPr>
                      <w:b/>
                      <w:bCs/>
                      <w:color w:val="auto"/>
                      <w:szCs w:val="21"/>
                      <w:highlight w:val="none"/>
                    </w:rPr>
                  </w:pPr>
                  <w:r>
                    <w:rPr>
                      <w:b/>
                      <w:bCs/>
                      <w:color w:val="auto"/>
                      <w:szCs w:val="21"/>
                      <w:highlight w:val="none"/>
                    </w:rPr>
                    <w:t>石油类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0" w:type="pct"/>
                  <w:vMerge w:val="restart"/>
                  <w:tcMar>
                    <w:left w:w="20" w:type="dxa"/>
                    <w:right w:w="20" w:type="dxa"/>
                  </w:tcMar>
                  <w:vAlign w:val="center"/>
                </w:tcPr>
                <w:p>
                  <w:pPr>
                    <w:spacing w:line="320" w:lineRule="exact"/>
                    <w:jc w:val="center"/>
                    <w:rPr>
                      <w:color w:val="auto"/>
                      <w:szCs w:val="21"/>
                      <w:highlight w:val="none"/>
                    </w:rPr>
                  </w:pPr>
                  <w:r>
                    <w:rPr>
                      <w:rFonts w:hint="eastAsia"/>
                      <w:color w:val="auto"/>
                      <w:szCs w:val="21"/>
                      <w:highlight w:val="none"/>
                    </w:rPr>
                    <w:t>W1扬东路西延段道路与外塘河交界处</w:t>
                  </w:r>
                </w:p>
              </w:tc>
              <w:tc>
                <w:tcPr>
                  <w:tcW w:w="570" w:type="pct"/>
                  <w:vMerge w:val="restart"/>
                  <w:tcMar>
                    <w:left w:w="20" w:type="dxa"/>
                    <w:right w:w="20" w:type="dxa"/>
                  </w:tcMar>
                  <w:vAlign w:val="center"/>
                </w:tcPr>
                <w:p>
                  <w:pPr>
                    <w:jc w:val="center"/>
                    <w:rPr>
                      <w:color w:val="auto"/>
                      <w:szCs w:val="21"/>
                      <w:highlight w:val="none"/>
                    </w:rPr>
                  </w:pPr>
                  <w:r>
                    <w:rPr>
                      <w:rFonts w:hint="eastAsia"/>
                      <w:color w:val="auto"/>
                      <w:szCs w:val="21"/>
                      <w:highlight w:val="none"/>
                    </w:rPr>
                    <w:t>2024.4.1</w:t>
                  </w:r>
                </w:p>
              </w:tc>
              <w:tc>
                <w:tcPr>
                  <w:tcW w:w="710" w:type="pct"/>
                  <w:tcMar>
                    <w:left w:w="20" w:type="dxa"/>
                    <w:right w:w="20" w:type="dxa"/>
                  </w:tcMar>
                  <w:vAlign w:val="center"/>
                </w:tcPr>
                <w:p>
                  <w:pPr>
                    <w:jc w:val="center"/>
                    <w:rPr>
                      <w:color w:val="auto"/>
                      <w:szCs w:val="21"/>
                      <w:highlight w:val="none"/>
                    </w:rPr>
                  </w:pPr>
                  <w:r>
                    <w:rPr>
                      <w:rFonts w:hint="eastAsia"/>
                      <w:color w:val="auto"/>
                      <w:szCs w:val="21"/>
                      <w:highlight w:val="none"/>
                    </w:rPr>
                    <w:t>浓度(mg/L)</w:t>
                  </w:r>
                </w:p>
              </w:tc>
              <w:tc>
                <w:tcPr>
                  <w:tcW w:w="463" w:type="pct"/>
                  <w:tcMar>
                    <w:left w:w="20" w:type="dxa"/>
                    <w:right w:w="20" w:type="dxa"/>
                  </w:tcMar>
                  <w:vAlign w:val="center"/>
                </w:tcPr>
                <w:p>
                  <w:pPr>
                    <w:widowControl/>
                    <w:jc w:val="center"/>
                    <w:textAlignment w:val="center"/>
                    <w:rPr>
                      <w:color w:val="auto"/>
                      <w:szCs w:val="21"/>
                      <w:highlight w:val="none"/>
                    </w:rPr>
                  </w:pPr>
                  <w:r>
                    <w:rPr>
                      <w:rFonts w:hint="eastAsia"/>
                      <w:color w:val="auto"/>
                      <w:szCs w:val="21"/>
                      <w:highlight w:val="none"/>
                    </w:rPr>
                    <w:t>7.3</w:t>
                  </w:r>
                </w:p>
              </w:tc>
              <w:tc>
                <w:tcPr>
                  <w:tcW w:w="431" w:type="pct"/>
                  <w:tcMar>
                    <w:left w:w="20" w:type="dxa"/>
                    <w:right w:w="20" w:type="dxa"/>
                  </w:tcMar>
                  <w:vAlign w:val="center"/>
                </w:tcPr>
                <w:p>
                  <w:pPr>
                    <w:widowControl/>
                    <w:jc w:val="center"/>
                    <w:textAlignment w:val="center"/>
                    <w:rPr>
                      <w:color w:val="auto"/>
                      <w:szCs w:val="21"/>
                      <w:highlight w:val="none"/>
                    </w:rPr>
                  </w:pPr>
                  <w:r>
                    <w:rPr>
                      <w:rFonts w:hint="eastAsia"/>
                      <w:color w:val="auto"/>
                      <w:szCs w:val="21"/>
                      <w:highlight w:val="none"/>
                    </w:rPr>
                    <w:t>7</w:t>
                  </w:r>
                </w:p>
              </w:tc>
              <w:tc>
                <w:tcPr>
                  <w:tcW w:w="424" w:type="pct"/>
                  <w:tcMar>
                    <w:left w:w="20" w:type="dxa"/>
                    <w:right w:w="20" w:type="dxa"/>
                  </w:tcMar>
                  <w:vAlign w:val="center"/>
                </w:tcPr>
                <w:p>
                  <w:pPr>
                    <w:widowControl/>
                    <w:jc w:val="center"/>
                    <w:textAlignment w:val="center"/>
                    <w:rPr>
                      <w:color w:val="auto"/>
                      <w:szCs w:val="21"/>
                      <w:highlight w:val="none"/>
                    </w:rPr>
                  </w:pPr>
                  <w:r>
                    <w:rPr>
                      <w:rFonts w:hint="eastAsia"/>
                      <w:color w:val="auto"/>
                      <w:szCs w:val="21"/>
                      <w:highlight w:val="none"/>
                    </w:rPr>
                    <w:t>10</w:t>
                  </w:r>
                </w:p>
              </w:tc>
              <w:tc>
                <w:tcPr>
                  <w:tcW w:w="431" w:type="pct"/>
                  <w:tcMar>
                    <w:left w:w="20" w:type="dxa"/>
                    <w:right w:w="20" w:type="dxa"/>
                  </w:tcMar>
                  <w:vAlign w:val="center"/>
                </w:tcPr>
                <w:p>
                  <w:pPr>
                    <w:widowControl/>
                    <w:jc w:val="center"/>
                    <w:textAlignment w:val="center"/>
                    <w:rPr>
                      <w:color w:val="auto"/>
                      <w:szCs w:val="21"/>
                      <w:highlight w:val="none"/>
                    </w:rPr>
                  </w:pPr>
                  <w:r>
                    <w:rPr>
                      <w:rFonts w:hint="eastAsia"/>
                      <w:color w:val="auto"/>
                      <w:szCs w:val="21"/>
                      <w:highlight w:val="none"/>
                    </w:rPr>
                    <w:t>0.322</w:t>
                  </w:r>
                </w:p>
              </w:tc>
              <w:tc>
                <w:tcPr>
                  <w:tcW w:w="606" w:type="pct"/>
                  <w:vAlign w:val="center"/>
                </w:tcPr>
                <w:p>
                  <w:pPr>
                    <w:widowControl/>
                    <w:jc w:val="center"/>
                    <w:textAlignment w:val="center"/>
                    <w:rPr>
                      <w:color w:val="auto"/>
                      <w:szCs w:val="21"/>
                      <w:highlight w:val="none"/>
                    </w:rPr>
                  </w:pPr>
                  <w:r>
                    <w:rPr>
                      <w:rFonts w:hint="eastAsia"/>
                      <w:color w:val="auto"/>
                      <w:szCs w:val="21"/>
                      <w:highlight w:val="none"/>
                    </w:rPr>
                    <w:t>0.05</w:t>
                  </w:r>
                </w:p>
              </w:tc>
              <w:tc>
                <w:tcPr>
                  <w:tcW w:w="531" w:type="pct"/>
                  <w:vAlign w:val="center"/>
                </w:tcPr>
                <w:p>
                  <w:pPr>
                    <w:pStyle w:val="28"/>
                    <w:widowControl w:val="0"/>
                    <w:pBdr>
                      <w:bottom w:val="none" w:color="auto" w:sz="0" w:space="0"/>
                    </w:pBdr>
                    <w:spacing w:before="0" w:after="0"/>
                    <w:rPr>
                      <w:rFonts w:ascii="Times New Roman" w:hAnsi="Times New Roman"/>
                      <w:color w:val="auto"/>
                      <w:szCs w:val="21"/>
                      <w:highlight w:val="none"/>
                    </w:rPr>
                  </w:pPr>
                  <w:r>
                    <w:rPr>
                      <w:rFonts w:hint="eastAsia" w:ascii="Times New Roman" w:hAnsi="Times New Roman"/>
                      <w:color w:val="auto"/>
                      <w:szCs w:val="21"/>
                      <w:highlight w:val="none"/>
                    </w:rPr>
                    <w:t>0.03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0" w:type="pct"/>
                  <w:vMerge w:val="continue"/>
                  <w:tcMar>
                    <w:left w:w="20" w:type="dxa"/>
                    <w:right w:w="20" w:type="dxa"/>
                  </w:tcMar>
                  <w:vAlign w:val="center"/>
                </w:tcPr>
                <w:p>
                  <w:pPr>
                    <w:jc w:val="center"/>
                    <w:rPr>
                      <w:color w:val="auto"/>
                      <w:szCs w:val="21"/>
                      <w:highlight w:val="none"/>
                    </w:rPr>
                  </w:pPr>
                </w:p>
              </w:tc>
              <w:tc>
                <w:tcPr>
                  <w:tcW w:w="570" w:type="pct"/>
                  <w:vMerge w:val="continue"/>
                  <w:tcMar>
                    <w:left w:w="20" w:type="dxa"/>
                    <w:right w:w="20" w:type="dxa"/>
                  </w:tcMar>
                  <w:vAlign w:val="center"/>
                </w:tcPr>
                <w:p>
                  <w:pPr>
                    <w:jc w:val="center"/>
                    <w:rPr>
                      <w:color w:val="auto"/>
                      <w:szCs w:val="21"/>
                      <w:highlight w:val="none"/>
                    </w:rPr>
                  </w:pPr>
                </w:p>
              </w:tc>
              <w:tc>
                <w:tcPr>
                  <w:tcW w:w="710" w:type="pct"/>
                  <w:tcMar>
                    <w:left w:w="20" w:type="dxa"/>
                    <w:right w:w="20" w:type="dxa"/>
                  </w:tcMar>
                  <w:vAlign w:val="center"/>
                </w:tcPr>
                <w:p>
                  <w:pPr>
                    <w:jc w:val="center"/>
                    <w:rPr>
                      <w:color w:val="auto"/>
                      <w:szCs w:val="21"/>
                      <w:highlight w:val="none"/>
                    </w:rPr>
                  </w:pPr>
                  <w:r>
                    <w:rPr>
                      <w:rFonts w:hint="eastAsia"/>
                      <w:color w:val="auto"/>
                      <w:szCs w:val="21"/>
                      <w:highlight w:val="none"/>
                    </w:rPr>
                    <w:t>超标率</w:t>
                  </w:r>
                </w:p>
              </w:tc>
              <w:tc>
                <w:tcPr>
                  <w:tcW w:w="463" w:type="pct"/>
                  <w:tcMar>
                    <w:left w:w="20" w:type="dxa"/>
                    <w:right w:w="20" w:type="dxa"/>
                  </w:tcMar>
                  <w:vAlign w:val="center"/>
                </w:tcPr>
                <w:p>
                  <w:pPr>
                    <w:jc w:val="center"/>
                    <w:rPr>
                      <w:color w:val="auto"/>
                      <w:szCs w:val="21"/>
                      <w:highlight w:val="none"/>
                    </w:rPr>
                  </w:pPr>
                  <w:r>
                    <w:rPr>
                      <w:rFonts w:hint="eastAsia"/>
                      <w:color w:val="auto"/>
                      <w:szCs w:val="21"/>
                      <w:highlight w:val="none"/>
                    </w:rPr>
                    <w:t>0</w:t>
                  </w:r>
                </w:p>
              </w:tc>
              <w:tc>
                <w:tcPr>
                  <w:tcW w:w="431" w:type="pct"/>
                  <w:tcMar>
                    <w:left w:w="20" w:type="dxa"/>
                    <w:right w:w="20" w:type="dxa"/>
                  </w:tcMar>
                  <w:vAlign w:val="center"/>
                </w:tcPr>
                <w:p>
                  <w:pPr>
                    <w:jc w:val="center"/>
                    <w:rPr>
                      <w:color w:val="auto"/>
                      <w:szCs w:val="21"/>
                      <w:highlight w:val="none"/>
                    </w:rPr>
                  </w:pPr>
                  <w:r>
                    <w:rPr>
                      <w:rFonts w:hint="eastAsia"/>
                      <w:color w:val="auto"/>
                      <w:szCs w:val="21"/>
                      <w:highlight w:val="none"/>
                      <w:lang w:val="en-US" w:eastAsia="zh-CN"/>
                    </w:rPr>
                    <w:t>/</w:t>
                  </w:r>
                </w:p>
              </w:tc>
              <w:tc>
                <w:tcPr>
                  <w:tcW w:w="424" w:type="pct"/>
                  <w:tcMar>
                    <w:left w:w="20" w:type="dxa"/>
                    <w:right w:w="20" w:type="dxa"/>
                  </w:tcMar>
                  <w:vAlign w:val="center"/>
                </w:tcPr>
                <w:p>
                  <w:pPr>
                    <w:jc w:val="center"/>
                    <w:rPr>
                      <w:color w:val="auto"/>
                      <w:szCs w:val="21"/>
                      <w:highlight w:val="none"/>
                    </w:rPr>
                  </w:pPr>
                  <w:r>
                    <w:rPr>
                      <w:rFonts w:hint="eastAsia"/>
                      <w:color w:val="auto"/>
                      <w:szCs w:val="21"/>
                      <w:highlight w:val="none"/>
                    </w:rPr>
                    <w:t>0</w:t>
                  </w:r>
                </w:p>
              </w:tc>
              <w:tc>
                <w:tcPr>
                  <w:tcW w:w="431" w:type="pct"/>
                  <w:tcMar>
                    <w:left w:w="20" w:type="dxa"/>
                    <w:right w:w="20" w:type="dxa"/>
                  </w:tcMar>
                  <w:vAlign w:val="center"/>
                </w:tcPr>
                <w:p>
                  <w:pPr>
                    <w:jc w:val="center"/>
                    <w:rPr>
                      <w:color w:val="auto"/>
                      <w:szCs w:val="21"/>
                      <w:highlight w:val="none"/>
                    </w:rPr>
                  </w:pPr>
                  <w:r>
                    <w:rPr>
                      <w:rFonts w:hint="eastAsia"/>
                      <w:color w:val="auto"/>
                      <w:szCs w:val="21"/>
                      <w:highlight w:val="none"/>
                    </w:rPr>
                    <w:t>0</w:t>
                  </w:r>
                </w:p>
              </w:tc>
              <w:tc>
                <w:tcPr>
                  <w:tcW w:w="606" w:type="pct"/>
                  <w:vAlign w:val="center"/>
                </w:tcPr>
                <w:p>
                  <w:pPr>
                    <w:jc w:val="center"/>
                    <w:rPr>
                      <w:color w:val="auto"/>
                      <w:szCs w:val="21"/>
                      <w:highlight w:val="none"/>
                    </w:rPr>
                  </w:pPr>
                  <w:r>
                    <w:rPr>
                      <w:rFonts w:hint="eastAsia"/>
                      <w:color w:val="auto"/>
                      <w:szCs w:val="21"/>
                      <w:highlight w:val="none"/>
                    </w:rPr>
                    <w:t>0</w:t>
                  </w:r>
                </w:p>
              </w:tc>
              <w:tc>
                <w:tcPr>
                  <w:tcW w:w="531" w:type="pct"/>
                  <w:vAlign w:val="center"/>
                </w:tcPr>
                <w:p>
                  <w:pPr>
                    <w:jc w:val="center"/>
                    <w:rPr>
                      <w:color w:val="auto"/>
                      <w:szCs w:val="21"/>
                      <w:highlight w:val="none"/>
                    </w:rPr>
                  </w:pPr>
                  <w:r>
                    <w:rPr>
                      <w:rFonts w:hint="eastAsia"/>
                      <w:color w:val="auto"/>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0" w:type="pct"/>
                  <w:vMerge w:val="continue"/>
                  <w:tcMar>
                    <w:left w:w="20" w:type="dxa"/>
                    <w:right w:w="20" w:type="dxa"/>
                  </w:tcMar>
                  <w:vAlign w:val="center"/>
                </w:tcPr>
                <w:p>
                  <w:pPr>
                    <w:jc w:val="center"/>
                    <w:rPr>
                      <w:color w:val="auto"/>
                      <w:szCs w:val="21"/>
                      <w:highlight w:val="none"/>
                    </w:rPr>
                  </w:pPr>
                </w:p>
              </w:tc>
              <w:tc>
                <w:tcPr>
                  <w:tcW w:w="570" w:type="pct"/>
                  <w:vMerge w:val="restart"/>
                  <w:tcMar>
                    <w:left w:w="20" w:type="dxa"/>
                    <w:right w:w="20" w:type="dxa"/>
                  </w:tcMar>
                  <w:vAlign w:val="center"/>
                </w:tcPr>
                <w:p>
                  <w:pPr>
                    <w:jc w:val="center"/>
                    <w:rPr>
                      <w:color w:val="auto"/>
                      <w:szCs w:val="21"/>
                      <w:highlight w:val="none"/>
                    </w:rPr>
                  </w:pPr>
                  <w:r>
                    <w:rPr>
                      <w:rFonts w:hint="eastAsia"/>
                      <w:color w:val="auto"/>
                      <w:szCs w:val="21"/>
                      <w:highlight w:val="none"/>
                    </w:rPr>
                    <w:t>2024.4.2</w:t>
                  </w:r>
                </w:p>
              </w:tc>
              <w:tc>
                <w:tcPr>
                  <w:tcW w:w="710" w:type="pct"/>
                  <w:tcMar>
                    <w:left w:w="20" w:type="dxa"/>
                    <w:right w:w="20" w:type="dxa"/>
                  </w:tcMar>
                  <w:vAlign w:val="center"/>
                </w:tcPr>
                <w:p>
                  <w:pPr>
                    <w:jc w:val="center"/>
                    <w:rPr>
                      <w:color w:val="auto"/>
                      <w:szCs w:val="21"/>
                      <w:highlight w:val="none"/>
                    </w:rPr>
                  </w:pPr>
                  <w:r>
                    <w:rPr>
                      <w:rFonts w:hint="eastAsia"/>
                      <w:color w:val="auto"/>
                      <w:szCs w:val="21"/>
                      <w:highlight w:val="none"/>
                    </w:rPr>
                    <w:t>浓度(mg/L)</w:t>
                  </w:r>
                </w:p>
              </w:tc>
              <w:tc>
                <w:tcPr>
                  <w:tcW w:w="463" w:type="pct"/>
                  <w:tcMar>
                    <w:left w:w="20" w:type="dxa"/>
                    <w:right w:w="20" w:type="dxa"/>
                  </w:tcMar>
                  <w:vAlign w:val="center"/>
                </w:tcPr>
                <w:p>
                  <w:pPr>
                    <w:widowControl/>
                    <w:jc w:val="center"/>
                    <w:textAlignment w:val="center"/>
                    <w:rPr>
                      <w:color w:val="auto"/>
                      <w:szCs w:val="21"/>
                      <w:highlight w:val="none"/>
                    </w:rPr>
                  </w:pPr>
                  <w:r>
                    <w:rPr>
                      <w:rFonts w:hint="eastAsia"/>
                      <w:color w:val="auto"/>
                      <w:szCs w:val="21"/>
                      <w:highlight w:val="none"/>
                    </w:rPr>
                    <w:t>7.3</w:t>
                  </w:r>
                </w:p>
              </w:tc>
              <w:tc>
                <w:tcPr>
                  <w:tcW w:w="431" w:type="pct"/>
                  <w:tcMar>
                    <w:left w:w="20" w:type="dxa"/>
                    <w:right w:w="20" w:type="dxa"/>
                  </w:tcMar>
                  <w:vAlign w:val="center"/>
                </w:tcPr>
                <w:p>
                  <w:pPr>
                    <w:widowControl/>
                    <w:jc w:val="center"/>
                    <w:textAlignment w:val="center"/>
                    <w:rPr>
                      <w:color w:val="auto"/>
                      <w:szCs w:val="21"/>
                      <w:highlight w:val="none"/>
                    </w:rPr>
                  </w:pPr>
                  <w:r>
                    <w:rPr>
                      <w:rFonts w:hint="eastAsia"/>
                      <w:color w:val="auto"/>
                      <w:szCs w:val="21"/>
                      <w:highlight w:val="none"/>
                    </w:rPr>
                    <w:t>8</w:t>
                  </w:r>
                </w:p>
              </w:tc>
              <w:tc>
                <w:tcPr>
                  <w:tcW w:w="424" w:type="pct"/>
                  <w:tcMar>
                    <w:left w:w="20" w:type="dxa"/>
                    <w:right w:w="20" w:type="dxa"/>
                  </w:tcMar>
                  <w:vAlign w:val="center"/>
                </w:tcPr>
                <w:p>
                  <w:pPr>
                    <w:widowControl/>
                    <w:jc w:val="center"/>
                    <w:textAlignment w:val="center"/>
                    <w:rPr>
                      <w:color w:val="auto"/>
                      <w:szCs w:val="21"/>
                      <w:highlight w:val="none"/>
                    </w:rPr>
                  </w:pPr>
                  <w:r>
                    <w:rPr>
                      <w:rFonts w:hint="eastAsia"/>
                      <w:color w:val="auto"/>
                      <w:szCs w:val="21"/>
                      <w:highlight w:val="none"/>
                    </w:rPr>
                    <w:t>12</w:t>
                  </w:r>
                </w:p>
              </w:tc>
              <w:tc>
                <w:tcPr>
                  <w:tcW w:w="431" w:type="pct"/>
                  <w:tcMar>
                    <w:left w:w="20" w:type="dxa"/>
                    <w:right w:w="20" w:type="dxa"/>
                  </w:tcMar>
                  <w:vAlign w:val="center"/>
                </w:tcPr>
                <w:p>
                  <w:pPr>
                    <w:widowControl/>
                    <w:jc w:val="center"/>
                    <w:textAlignment w:val="center"/>
                    <w:rPr>
                      <w:color w:val="auto"/>
                      <w:szCs w:val="21"/>
                      <w:highlight w:val="none"/>
                    </w:rPr>
                  </w:pPr>
                  <w:r>
                    <w:rPr>
                      <w:rFonts w:hint="eastAsia"/>
                      <w:color w:val="auto"/>
                      <w:szCs w:val="21"/>
                      <w:highlight w:val="none"/>
                    </w:rPr>
                    <w:t>0.358</w:t>
                  </w:r>
                </w:p>
              </w:tc>
              <w:tc>
                <w:tcPr>
                  <w:tcW w:w="606" w:type="pct"/>
                  <w:vAlign w:val="center"/>
                </w:tcPr>
                <w:p>
                  <w:pPr>
                    <w:widowControl/>
                    <w:jc w:val="center"/>
                    <w:textAlignment w:val="center"/>
                    <w:rPr>
                      <w:color w:val="auto"/>
                      <w:szCs w:val="21"/>
                      <w:highlight w:val="none"/>
                    </w:rPr>
                  </w:pPr>
                  <w:r>
                    <w:rPr>
                      <w:rFonts w:hint="eastAsia"/>
                      <w:color w:val="auto"/>
                      <w:szCs w:val="21"/>
                      <w:highlight w:val="none"/>
                    </w:rPr>
                    <w:t>0.06</w:t>
                  </w:r>
                </w:p>
              </w:tc>
              <w:tc>
                <w:tcPr>
                  <w:tcW w:w="531" w:type="pct"/>
                  <w:vAlign w:val="center"/>
                </w:tcPr>
                <w:p>
                  <w:pPr>
                    <w:jc w:val="center"/>
                    <w:rPr>
                      <w:color w:val="auto"/>
                      <w:szCs w:val="21"/>
                      <w:highlight w:val="none"/>
                    </w:rPr>
                  </w:pPr>
                  <w:r>
                    <w:rPr>
                      <w:rFonts w:hint="eastAsia"/>
                      <w:color w:val="auto"/>
                      <w:szCs w:val="21"/>
                      <w:highlight w:val="none"/>
                    </w:rPr>
                    <w:t>0.04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0" w:type="pct"/>
                  <w:vMerge w:val="continue"/>
                  <w:tcMar>
                    <w:left w:w="20" w:type="dxa"/>
                    <w:right w:w="20" w:type="dxa"/>
                  </w:tcMar>
                  <w:vAlign w:val="center"/>
                </w:tcPr>
                <w:p>
                  <w:pPr>
                    <w:jc w:val="center"/>
                    <w:rPr>
                      <w:color w:val="auto"/>
                      <w:szCs w:val="21"/>
                      <w:highlight w:val="none"/>
                    </w:rPr>
                  </w:pPr>
                </w:p>
              </w:tc>
              <w:tc>
                <w:tcPr>
                  <w:tcW w:w="570" w:type="pct"/>
                  <w:vMerge w:val="continue"/>
                  <w:tcMar>
                    <w:left w:w="20" w:type="dxa"/>
                    <w:right w:w="20" w:type="dxa"/>
                  </w:tcMar>
                  <w:vAlign w:val="center"/>
                </w:tcPr>
                <w:p>
                  <w:pPr>
                    <w:jc w:val="center"/>
                    <w:rPr>
                      <w:color w:val="auto"/>
                      <w:szCs w:val="21"/>
                      <w:highlight w:val="none"/>
                    </w:rPr>
                  </w:pPr>
                </w:p>
              </w:tc>
              <w:tc>
                <w:tcPr>
                  <w:tcW w:w="710" w:type="pct"/>
                  <w:tcMar>
                    <w:left w:w="20" w:type="dxa"/>
                    <w:right w:w="20" w:type="dxa"/>
                  </w:tcMar>
                  <w:vAlign w:val="center"/>
                </w:tcPr>
                <w:p>
                  <w:pPr>
                    <w:jc w:val="center"/>
                    <w:rPr>
                      <w:color w:val="auto"/>
                      <w:szCs w:val="21"/>
                      <w:highlight w:val="none"/>
                    </w:rPr>
                  </w:pPr>
                  <w:r>
                    <w:rPr>
                      <w:rFonts w:hint="eastAsia"/>
                      <w:color w:val="auto"/>
                      <w:szCs w:val="21"/>
                      <w:highlight w:val="none"/>
                    </w:rPr>
                    <w:t>超标率</w:t>
                  </w:r>
                </w:p>
              </w:tc>
              <w:tc>
                <w:tcPr>
                  <w:tcW w:w="463" w:type="pct"/>
                  <w:tcMar>
                    <w:left w:w="20" w:type="dxa"/>
                    <w:right w:w="20" w:type="dxa"/>
                  </w:tcMar>
                  <w:vAlign w:val="center"/>
                </w:tcPr>
                <w:p>
                  <w:pPr>
                    <w:jc w:val="center"/>
                    <w:rPr>
                      <w:color w:val="auto"/>
                      <w:szCs w:val="21"/>
                      <w:highlight w:val="none"/>
                    </w:rPr>
                  </w:pPr>
                  <w:r>
                    <w:rPr>
                      <w:rFonts w:hint="eastAsia"/>
                      <w:color w:val="auto"/>
                      <w:szCs w:val="21"/>
                      <w:highlight w:val="none"/>
                    </w:rPr>
                    <w:t>0</w:t>
                  </w:r>
                </w:p>
              </w:tc>
              <w:tc>
                <w:tcPr>
                  <w:tcW w:w="431" w:type="pct"/>
                  <w:tcMar>
                    <w:left w:w="20" w:type="dxa"/>
                    <w:right w:w="20" w:type="dxa"/>
                  </w:tcMar>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424" w:type="pct"/>
                  <w:tcMar>
                    <w:left w:w="20" w:type="dxa"/>
                    <w:right w:w="20" w:type="dxa"/>
                  </w:tcMar>
                  <w:vAlign w:val="center"/>
                </w:tcPr>
                <w:p>
                  <w:pPr>
                    <w:jc w:val="center"/>
                    <w:rPr>
                      <w:color w:val="auto"/>
                      <w:szCs w:val="21"/>
                      <w:highlight w:val="none"/>
                    </w:rPr>
                  </w:pPr>
                  <w:r>
                    <w:rPr>
                      <w:rFonts w:hint="eastAsia"/>
                      <w:color w:val="auto"/>
                      <w:szCs w:val="21"/>
                      <w:highlight w:val="none"/>
                    </w:rPr>
                    <w:t>0</w:t>
                  </w:r>
                </w:p>
              </w:tc>
              <w:tc>
                <w:tcPr>
                  <w:tcW w:w="431" w:type="pct"/>
                  <w:tcMar>
                    <w:left w:w="20" w:type="dxa"/>
                    <w:right w:w="20" w:type="dxa"/>
                  </w:tcMar>
                  <w:vAlign w:val="center"/>
                </w:tcPr>
                <w:p>
                  <w:pPr>
                    <w:jc w:val="center"/>
                    <w:rPr>
                      <w:color w:val="auto"/>
                      <w:szCs w:val="21"/>
                      <w:highlight w:val="none"/>
                    </w:rPr>
                  </w:pPr>
                  <w:r>
                    <w:rPr>
                      <w:rFonts w:hint="eastAsia"/>
                      <w:color w:val="auto"/>
                      <w:szCs w:val="21"/>
                      <w:highlight w:val="none"/>
                    </w:rPr>
                    <w:t>0</w:t>
                  </w:r>
                </w:p>
              </w:tc>
              <w:tc>
                <w:tcPr>
                  <w:tcW w:w="606" w:type="pct"/>
                  <w:vAlign w:val="center"/>
                </w:tcPr>
                <w:p>
                  <w:pPr>
                    <w:jc w:val="center"/>
                    <w:rPr>
                      <w:color w:val="auto"/>
                      <w:szCs w:val="21"/>
                      <w:highlight w:val="none"/>
                    </w:rPr>
                  </w:pPr>
                  <w:r>
                    <w:rPr>
                      <w:rFonts w:hint="eastAsia"/>
                      <w:color w:val="auto"/>
                      <w:szCs w:val="21"/>
                      <w:highlight w:val="none"/>
                    </w:rPr>
                    <w:t>0</w:t>
                  </w:r>
                </w:p>
              </w:tc>
              <w:tc>
                <w:tcPr>
                  <w:tcW w:w="531" w:type="pct"/>
                  <w:vAlign w:val="center"/>
                </w:tcPr>
                <w:p>
                  <w:pPr>
                    <w:jc w:val="center"/>
                    <w:rPr>
                      <w:color w:val="auto"/>
                      <w:szCs w:val="21"/>
                      <w:highlight w:val="none"/>
                    </w:rPr>
                  </w:pPr>
                  <w:r>
                    <w:rPr>
                      <w:rFonts w:hint="eastAsia"/>
                      <w:color w:val="auto"/>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0" w:type="pct"/>
                  <w:vMerge w:val="continue"/>
                  <w:tcMar>
                    <w:left w:w="20" w:type="dxa"/>
                    <w:right w:w="20" w:type="dxa"/>
                  </w:tcMar>
                  <w:vAlign w:val="center"/>
                </w:tcPr>
                <w:p>
                  <w:pPr>
                    <w:jc w:val="center"/>
                    <w:rPr>
                      <w:color w:val="auto"/>
                      <w:szCs w:val="21"/>
                      <w:highlight w:val="none"/>
                    </w:rPr>
                  </w:pPr>
                </w:p>
              </w:tc>
              <w:tc>
                <w:tcPr>
                  <w:tcW w:w="570" w:type="pct"/>
                  <w:vMerge w:val="restart"/>
                  <w:tcMar>
                    <w:left w:w="20" w:type="dxa"/>
                    <w:right w:w="20" w:type="dxa"/>
                  </w:tcMar>
                  <w:vAlign w:val="center"/>
                </w:tcPr>
                <w:p>
                  <w:pPr>
                    <w:jc w:val="center"/>
                    <w:rPr>
                      <w:color w:val="auto"/>
                      <w:szCs w:val="21"/>
                      <w:highlight w:val="none"/>
                    </w:rPr>
                  </w:pPr>
                  <w:r>
                    <w:rPr>
                      <w:rFonts w:hint="eastAsia"/>
                      <w:color w:val="auto"/>
                      <w:szCs w:val="21"/>
                      <w:highlight w:val="none"/>
                    </w:rPr>
                    <w:t>2024.4.3</w:t>
                  </w:r>
                </w:p>
              </w:tc>
              <w:tc>
                <w:tcPr>
                  <w:tcW w:w="710" w:type="pct"/>
                  <w:tcMar>
                    <w:left w:w="20" w:type="dxa"/>
                    <w:right w:w="20" w:type="dxa"/>
                  </w:tcMar>
                  <w:vAlign w:val="center"/>
                </w:tcPr>
                <w:p>
                  <w:pPr>
                    <w:jc w:val="center"/>
                    <w:rPr>
                      <w:color w:val="auto"/>
                      <w:szCs w:val="21"/>
                      <w:highlight w:val="none"/>
                    </w:rPr>
                  </w:pPr>
                  <w:r>
                    <w:rPr>
                      <w:rFonts w:hint="eastAsia"/>
                      <w:color w:val="auto"/>
                      <w:szCs w:val="21"/>
                      <w:highlight w:val="none"/>
                    </w:rPr>
                    <w:t>浓度(mg/L)</w:t>
                  </w:r>
                </w:p>
              </w:tc>
              <w:tc>
                <w:tcPr>
                  <w:tcW w:w="463" w:type="pct"/>
                  <w:tcMar>
                    <w:left w:w="20" w:type="dxa"/>
                    <w:right w:w="20" w:type="dxa"/>
                  </w:tcMar>
                  <w:vAlign w:val="center"/>
                </w:tcPr>
                <w:p>
                  <w:pPr>
                    <w:jc w:val="center"/>
                    <w:rPr>
                      <w:color w:val="auto"/>
                      <w:szCs w:val="21"/>
                      <w:highlight w:val="none"/>
                    </w:rPr>
                  </w:pPr>
                  <w:r>
                    <w:rPr>
                      <w:rFonts w:hint="eastAsia"/>
                      <w:color w:val="auto"/>
                      <w:szCs w:val="21"/>
                      <w:highlight w:val="none"/>
                    </w:rPr>
                    <w:t>7.2</w:t>
                  </w:r>
                </w:p>
              </w:tc>
              <w:tc>
                <w:tcPr>
                  <w:tcW w:w="431" w:type="pct"/>
                  <w:tcMar>
                    <w:left w:w="20" w:type="dxa"/>
                    <w:right w:w="20" w:type="dxa"/>
                  </w:tcMar>
                  <w:vAlign w:val="center"/>
                </w:tcPr>
                <w:p>
                  <w:pPr>
                    <w:jc w:val="center"/>
                    <w:rPr>
                      <w:color w:val="auto"/>
                      <w:szCs w:val="21"/>
                      <w:highlight w:val="none"/>
                    </w:rPr>
                  </w:pPr>
                  <w:r>
                    <w:rPr>
                      <w:rFonts w:hint="eastAsia"/>
                      <w:color w:val="auto"/>
                      <w:szCs w:val="21"/>
                      <w:highlight w:val="none"/>
                    </w:rPr>
                    <w:t>8</w:t>
                  </w:r>
                </w:p>
              </w:tc>
              <w:tc>
                <w:tcPr>
                  <w:tcW w:w="424" w:type="pct"/>
                  <w:tcMar>
                    <w:left w:w="20" w:type="dxa"/>
                    <w:right w:w="20" w:type="dxa"/>
                  </w:tcMar>
                  <w:vAlign w:val="center"/>
                </w:tcPr>
                <w:p>
                  <w:pPr>
                    <w:jc w:val="center"/>
                    <w:rPr>
                      <w:color w:val="auto"/>
                      <w:szCs w:val="21"/>
                      <w:highlight w:val="none"/>
                    </w:rPr>
                  </w:pPr>
                  <w:r>
                    <w:rPr>
                      <w:rFonts w:hint="eastAsia"/>
                      <w:color w:val="auto"/>
                      <w:szCs w:val="21"/>
                      <w:highlight w:val="none"/>
                    </w:rPr>
                    <w:t>11</w:t>
                  </w:r>
                </w:p>
              </w:tc>
              <w:tc>
                <w:tcPr>
                  <w:tcW w:w="431" w:type="pct"/>
                  <w:tcMar>
                    <w:left w:w="20" w:type="dxa"/>
                    <w:right w:w="20" w:type="dxa"/>
                  </w:tcMar>
                  <w:vAlign w:val="center"/>
                </w:tcPr>
                <w:p>
                  <w:pPr>
                    <w:jc w:val="center"/>
                    <w:rPr>
                      <w:color w:val="auto"/>
                      <w:szCs w:val="21"/>
                      <w:highlight w:val="none"/>
                    </w:rPr>
                  </w:pPr>
                  <w:r>
                    <w:rPr>
                      <w:rFonts w:hint="eastAsia"/>
                      <w:color w:val="auto"/>
                      <w:szCs w:val="21"/>
                      <w:highlight w:val="none"/>
                    </w:rPr>
                    <w:t>0.317</w:t>
                  </w:r>
                </w:p>
              </w:tc>
              <w:tc>
                <w:tcPr>
                  <w:tcW w:w="606" w:type="pct"/>
                  <w:vAlign w:val="center"/>
                </w:tcPr>
                <w:p>
                  <w:pPr>
                    <w:jc w:val="center"/>
                    <w:rPr>
                      <w:color w:val="auto"/>
                      <w:szCs w:val="21"/>
                      <w:highlight w:val="none"/>
                    </w:rPr>
                  </w:pPr>
                  <w:r>
                    <w:rPr>
                      <w:rFonts w:hint="eastAsia"/>
                      <w:color w:val="auto"/>
                      <w:szCs w:val="21"/>
                      <w:highlight w:val="none"/>
                    </w:rPr>
                    <w:t>0.06</w:t>
                  </w:r>
                </w:p>
              </w:tc>
              <w:tc>
                <w:tcPr>
                  <w:tcW w:w="531" w:type="pct"/>
                  <w:vAlign w:val="center"/>
                </w:tcPr>
                <w:p>
                  <w:pPr>
                    <w:jc w:val="center"/>
                    <w:rPr>
                      <w:color w:val="auto"/>
                      <w:szCs w:val="21"/>
                      <w:highlight w:val="none"/>
                    </w:rPr>
                  </w:pPr>
                  <w:r>
                    <w:rPr>
                      <w:rFonts w:hint="eastAsia"/>
                      <w:color w:val="auto"/>
                      <w:szCs w:val="21"/>
                      <w:highlight w:val="none"/>
                    </w:rPr>
                    <w:t>0.04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830" w:type="pct"/>
                  <w:vMerge w:val="continue"/>
                  <w:tcMar>
                    <w:left w:w="20" w:type="dxa"/>
                    <w:right w:w="20" w:type="dxa"/>
                  </w:tcMar>
                  <w:vAlign w:val="center"/>
                </w:tcPr>
                <w:p>
                  <w:pPr>
                    <w:jc w:val="center"/>
                    <w:rPr>
                      <w:color w:val="auto"/>
                      <w:szCs w:val="21"/>
                      <w:highlight w:val="none"/>
                    </w:rPr>
                  </w:pPr>
                </w:p>
              </w:tc>
              <w:tc>
                <w:tcPr>
                  <w:tcW w:w="570" w:type="pct"/>
                  <w:vMerge w:val="continue"/>
                  <w:tcMar>
                    <w:left w:w="20" w:type="dxa"/>
                    <w:right w:w="20" w:type="dxa"/>
                  </w:tcMar>
                  <w:vAlign w:val="center"/>
                </w:tcPr>
                <w:p>
                  <w:pPr>
                    <w:jc w:val="center"/>
                    <w:rPr>
                      <w:color w:val="auto"/>
                      <w:szCs w:val="21"/>
                      <w:highlight w:val="none"/>
                    </w:rPr>
                  </w:pPr>
                </w:p>
              </w:tc>
              <w:tc>
                <w:tcPr>
                  <w:tcW w:w="710" w:type="pct"/>
                  <w:tcMar>
                    <w:left w:w="20" w:type="dxa"/>
                    <w:right w:w="20" w:type="dxa"/>
                  </w:tcMar>
                  <w:vAlign w:val="center"/>
                </w:tcPr>
                <w:p>
                  <w:pPr>
                    <w:jc w:val="center"/>
                    <w:rPr>
                      <w:color w:val="auto"/>
                      <w:szCs w:val="21"/>
                      <w:highlight w:val="none"/>
                    </w:rPr>
                  </w:pPr>
                  <w:r>
                    <w:rPr>
                      <w:rFonts w:hint="eastAsia"/>
                      <w:color w:val="auto"/>
                      <w:szCs w:val="21"/>
                      <w:highlight w:val="none"/>
                    </w:rPr>
                    <w:t>超标率</w:t>
                  </w:r>
                </w:p>
              </w:tc>
              <w:tc>
                <w:tcPr>
                  <w:tcW w:w="463" w:type="pct"/>
                  <w:tcMar>
                    <w:left w:w="20" w:type="dxa"/>
                    <w:right w:w="20" w:type="dxa"/>
                  </w:tcMar>
                  <w:vAlign w:val="center"/>
                </w:tcPr>
                <w:p>
                  <w:pPr>
                    <w:jc w:val="center"/>
                    <w:rPr>
                      <w:color w:val="auto"/>
                      <w:szCs w:val="21"/>
                      <w:highlight w:val="none"/>
                    </w:rPr>
                  </w:pPr>
                  <w:r>
                    <w:rPr>
                      <w:rFonts w:hint="eastAsia"/>
                      <w:color w:val="auto"/>
                      <w:szCs w:val="21"/>
                      <w:highlight w:val="none"/>
                    </w:rPr>
                    <w:t>0</w:t>
                  </w:r>
                </w:p>
              </w:tc>
              <w:tc>
                <w:tcPr>
                  <w:tcW w:w="431" w:type="pct"/>
                  <w:tcMar>
                    <w:left w:w="20" w:type="dxa"/>
                    <w:right w:w="20" w:type="dxa"/>
                  </w:tcMar>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424" w:type="pct"/>
                  <w:tcMar>
                    <w:left w:w="20" w:type="dxa"/>
                    <w:right w:w="20" w:type="dxa"/>
                  </w:tcMar>
                  <w:vAlign w:val="center"/>
                </w:tcPr>
                <w:p>
                  <w:pPr>
                    <w:jc w:val="center"/>
                    <w:rPr>
                      <w:color w:val="auto"/>
                      <w:szCs w:val="21"/>
                      <w:highlight w:val="none"/>
                    </w:rPr>
                  </w:pPr>
                  <w:r>
                    <w:rPr>
                      <w:rFonts w:hint="eastAsia"/>
                      <w:color w:val="auto"/>
                      <w:szCs w:val="21"/>
                      <w:highlight w:val="none"/>
                    </w:rPr>
                    <w:t>0</w:t>
                  </w:r>
                </w:p>
              </w:tc>
              <w:tc>
                <w:tcPr>
                  <w:tcW w:w="431" w:type="pct"/>
                  <w:tcMar>
                    <w:left w:w="20" w:type="dxa"/>
                    <w:right w:w="20" w:type="dxa"/>
                  </w:tcMar>
                  <w:vAlign w:val="center"/>
                </w:tcPr>
                <w:p>
                  <w:pPr>
                    <w:jc w:val="center"/>
                    <w:rPr>
                      <w:color w:val="auto"/>
                      <w:szCs w:val="21"/>
                      <w:highlight w:val="none"/>
                    </w:rPr>
                  </w:pPr>
                  <w:r>
                    <w:rPr>
                      <w:rFonts w:hint="eastAsia"/>
                      <w:color w:val="auto"/>
                      <w:szCs w:val="21"/>
                      <w:highlight w:val="none"/>
                    </w:rPr>
                    <w:t>0</w:t>
                  </w:r>
                </w:p>
              </w:tc>
              <w:tc>
                <w:tcPr>
                  <w:tcW w:w="606" w:type="pct"/>
                  <w:vAlign w:val="center"/>
                </w:tcPr>
                <w:p>
                  <w:pPr>
                    <w:jc w:val="center"/>
                    <w:rPr>
                      <w:color w:val="auto"/>
                      <w:szCs w:val="21"/>
                      <w:highlight w:val="none"/>
                    </w:rPr>
                  </w:pPr>
                  <w:r>
                    <w:rPr>
                      <w:rFonts w:hint="eastAsia"/>
                      <w:color w:val="auto"/>
                      <w:szCs w:val="21"/>
                      <w:highlight w:val="none"/>
                    </w:rPr>
                    <w:t>0</w:t>
                  </w:r>
                </w:p>
              </w:tc>
              <w:tc>
                <w:tcPr>
                  <w:tcW w:w="531" w:type="pct"/>
                  <w:vAlign w:val="center"/>
                </w:tcPr>
                <w:p>
                  <w:pPr>
                    <w:jc w:val="center"/>
                    <w:rPr>
                      <w:color w:val="auto"/>
                      <w:szCs w:val="21"/>
                      <w:highlight w:val="none"/>
                    </w:rPr>
                  </w:pPr>
                  <w:r>
                    <w:rPr>
                      <w:rFonts w:hint="eastAsia"/>
                      <w:color w:val="auto"/>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112" w:type="pct"/>
                  <w:gridSpan w:val="3"/>
                  <w:tcMar>
                    <w:left w:w="20" w:type="dxa"/>
                    <w:right w:w="20" w:type="dxa"/>
                  </w:tcMar>
                  <w:vAlign w:val="center"/>
                </w:tcPr>
                <w:p>
                  <w:pPr>
                    <w:jc w:val="center"/>
                    <w:rPr>
                      <w:color w:val="auto"/>
                      <w:szCs w:val="21"/>
                      <w:highlight w:val="none"/>
                    </w:rPr>
                  </w:pPr>
                  <w:r>
                    <w:rPr>
                      <w:color w:val="auto"/>
                      <w:szCs w:val="21"/>
                      <w:highlight w:val="none"/>
                    </w:rPr>
                    <w:t>标准值(mg/L)</w:t>
                  </w:r>
                </w:p>
              </w:tc>
              <w:tc>
                <w:tcPr>
                  <w:tcW w:w="463" w:type="pct"/>
                  <w:tcMar>
                    <w:left w:w="20" w:type="dxa"/>
                    <w:right w:w="20" w:type="dxa"/>
                  </w:tcMar>
                  <w:vAlign w:val="center"/>
                </w:tcPr>
                <w:p>
                  <w:pPr>
                    <w:jc w:val="center"/>
                    <w:rPr>
                      <w:color w:val="auto"/>
                      <w:szCs w:val="21"/>
                      <w:highlight w:val="none"/>
                    </w:rPr>
                  </w:pPr>
                  <w:r>
                    <w:rPr>
                      <w:rFonts w:hint="eastAsia"/>
                      <w:color w:val="auto"/>
                      <w:szCs w:val="21"/>
                      <w:highlight w:val="none"/>
                    </w:rPr>
                    <w:t>6~9</w:t>
                  </w:r>
                </w:p>
              </w:tc>
              <w:tc>
                <w:tcPr>
                  <w:tcW w:w="431" w:type="pct"/>
                  <w:tcMar>
                    <w:left w:w="20" w:type="dxa"/>
                    <w:right w:w="20" w:type="dxa"/>
                  </w:tcMar>
                  <w:vAlign w:val="center"/>
                </w:tcPr>
                <w:p>
                  <w:pPr>
                    <w:jc w:val="center"/>
                    <w:rPr>
                      <w:color w:val="auto"/>
                      <w:szCs w:val="21"/>
                      <w:highlight w:val="none"/>
                    </w:rPr>
                  </w:pPr>
                  <w:r>
                    <w:rPr>
                      <w:rFonts w:hint="eastAsia"/>
                      <w:color w:val="auto"/>
                      <w:szCs w:val="21"/>
                      <w:highlight w:val="none"/>
                    </w:rPr>
                    <w:t>/</w:t>
                  </w:r>
                </w:p>
              </w:tc>
              <w:tc>
                <w:tcPr>
                  <w:tcW w:w="424" w:type="pct"/>
                  <w:tcMar>
                    <w:left w:w="20" w:type="dxa"/>
                    <w:right w:w="20" w:type="dxa"/>
                  </w:tcMar>
                  <w:vAlign w:val="center"/>
                </w:tcPr>
                <w:p>
                  <w:pPr>
                    <w:jc w:val="center"/>
                    <w:rPr>
                      <w:color w:val="auto"/>
                      <w:szCs w:val="21"/>
                      <w:highlight w:val="none"/>
                    </w:rPr>
                  </w:pPr>
                  <w:r>
                    <w:rPr>
                      <w:rFonts w:hint="eastAsia"/>
                      <w:color w:val="auto"/>
                      <w:szCs w:val="21"/>
                      <w:highlight w:val="none"/>
                    </w:rPr>
                    <w:t>30</w:t>
                  </w:r>
                </w:p>
              </w:tc>
              <w:tc>
                <w:tcPr>
                  <w:tcW w:w="431" w:type="pct"/>
                  <w:tcMar>
                    <w:left w:w="20" w:type="dxa"/>
                    <w:right w:w="20" w:type="dxa"/>
                  </w:tcMar>
                  <w:vAlign w:val="center"/>
                </w:tcPr>
                <w:p>
                  <w:pPr>
                    <w:jc w:val="center"/>
                    <w:rPr>
                      <w:color w:val="auto"/>
                      <w:szCs w:val="21"/>
                      <w:highlight w:val="none"/>
                    </w:rPr>
                  </w:pPr>
                  <w:r>
                    <w:rPr>
                      <w:rFonts w:hint="eastAsia"/>
                      <w:color w:val="auto"/>
                      <w:szCs w:val="21"/>
                      <w:highlight w:val="none"/>
                    </w:rPr>
                    <w:t>1.5</w:t>
                  </w:r>
                </w:p>
              </w:tc>
              <w:tc>
                <w:tcPr>
                  <w:tcW w:w="606" w:type="pct"/>
                  <w:vAlign w:val="center"/>
                </w:tcPr>
                <w:p>
                  <w:pPr>
                    <w:jc w:val="center"/>
                    <w:rPr>
                      <w:color w:val="auto"/>
                      <w:szCs w:val="21"/>
                      <w:highlight w:val="none"/>
                    </w:rPr>
                  </w:pPr>
                  <w:r>
                    <w:rPr>
                      <w:rFonts w:hint="eastAsia"/>
                      <w:color w:val="auto"/>
                      <w:szCs w:val="21"/>
                      <w:highlight w:val="none"/>
                    </w:rPr>
                    <w:t>0.3（湖、库0.1）</w:t>
                  </w:r>
                </w:p>
              </w:tc>
              <w:tc>
                <w:tcPr>
                  <w:tcW w:w="531" w:type="pct"/>
                  <w:vAlign w:val="center"/>
                </w:tcPr>
                <w:p>
                  <w:pPr>
                    <w:jc w:val="center"/>
                    <w:rPr>
                      <w:color w:val="auto"/>
                      <w:szCs w:val="21"/>
                      <w:highlight w:val="none"/>
                    </w:rPr>
                  </w:pPr>
                  <w:r>
                    <w:rPr>
                      <w:rFonts w:hint="eastAsia"/>
                      <w:color w:val="auto"/>
                      <w:szCs w:val="21"/>
                      <w:highlight w:val="none"/>
                    </w:rPr>
                    <w:t>0.5</w:t>
                  </w:r>
                </w:p>
              </w:tc>
            </w:tr>
          </w:tbl>
          <w:p>
            <w:pPr>
              <w:spacing w:line="360" w:lineRule="auto"/>
              <w:ind w:firstLine="480" w:firstLineChars="200"/>
              <w:rPr>
                <w:bCs/>
                <w:color w:val="auto"/>
                <w:sz w:val="24"/>
                <w:highlight w:val="none"/>
              </w:rPr>
            </w:pPr>
            <w:r>
              <w:rPr>
                <w:rFonts w:hint="eastAsia"/>
                <w:bCs/>
                <w:color w:val="auto"/>
                <w:sz w:val="24"/>
                <w:highlight w:val="none"/>
              </w:rPr>
              <w:t>由表3-4可知，各监测断面pH、化学需氧量、氨氮、总磷、石油类均达到《地表水环境质量标准》（GB3838-2002）</w:t>
            </w:r>
            <w:r>
              <w:rPr>
                <w:bCs/>
                <w:color w:val="auto"/>
                <w:sz w:val="24"/>
                <w:highlight w:val="none"/>
              </w:rPr>
              <w:t>Ⅳ</w:t>
            </w:r>
            <w:r>
              <w:rPr>
                <w:rFonts w:hint="eastAsia"/>
                <w:bCs/>
                <w:color w:val="auto"/>
                <w:sz w:val="24"/>
                <w:highlight w:val="none"/>
              </w:rPr>
              <w:t>类水质标准。</w:t>
            </w:r>
          </w:p>
          <w:p>
            <w:pPr>
              <w:pStyle w:val="24"/>
              <w:kinsoku w:val="0"/>
              <w:overflowPunct w:val="0"/>
              <w:spacing w:line="360" w:lineRule="auto"/>
              <w:ind w:firstLine="482" w:firstLineChars="200"/>
              <w:jc w:val="both"/>
              <w:rPr>
                <w:b/>
                <w:bCs/>
                <w:color w:val="auto"/>
                <w:highlight w:val="none"/>
              </w:rPr>
            </w:pPr>
            <w:r>
              <w:rPr>
                <w:b/>
                <w:bCs/>
                <w:color w:val="auto"/>
                <w:highlight w:val="none"/>
              </w:rPr>
              <w:t>3、声环境质量现状</w:t>
            </w:r>
          </w:p>
          <w:p>
            <w:pPr>
              <w:spacing w:line="360" w:lineRule="auto"/>
              <w:ind w:firstLine="480" w:firstLineChars="200"/>
              <w:rPr>
                <w:bCs/>
                <w:color w:val="auto"/>
                <w:sz w:val="24"/>
                <w:highlight w:val="none"/>
              </w:rPr>
            </w:pPr>
            <w:r>
              <w:rPr>
                <w:rFonts w:hint="eastAsia"/>
                <w:bCs/>
                <w:color w:val="auto"/>
                <w:sz w:val="24"/>
                <w:highlight w:val="none"/>
              </w:rPr>
              <w:t>本项目为道路新建项目，声源为流动声源，现状监测点位选取工程范围起点、沿线交点、终点及周边敏感点（昂内·天骄花园和</w:t>
            </w:r>
            <w:r>
              <w:rPr>
                <w:rFonts w:hint="eastAsia"/>
                <w:color w:val="auto"/>
                <w:kern w:val="0"/>
                <w:sz w:val="24"/>
                <w:highlight w:val="none"/>
              </w:rPr>
              <w:t>日兴花园</w:t>
            </w:r>
            <w:r>
              <w:rPr>
                <w:rFonts w:hint="eastAsia"/>
                <w:bCs/>
                <w:color w:val="auto"/>
                <w:sz w:val="24"/>
                <w:highlight w:val="none"/>
              </w:rPr>
              <w:t>）进行噪声监测，共设置7个噪声监测点，各测点监测时间20min。在道路规划红线外1米监测。具体监测点位见附图2 周围状况图。</w:t>
            </w:r>
          </w:p>
          <w:p>
            <w:pPr>
              <w:spacing w:line="360" w:lineRule="auto"/>
              <w:ind w:firstLine="480" w:firstLineChars="200"/>
              <w:rPr>
                <w:bCs/>
                <w:color w:val="auto"/>
                <w:sz w:val="24"/>
                <w:highlight w:val="none"/>
              </w:rPr>
            </w:pPr>
            <w:r>
              <w:rPr>
                <w:rFonts w:hint="eastAsia"/>
                <w:bCs/>
                <w:color w:val="auto"/>
                <w:sz w:val="24"/>
                <w:highlight w:val="none"/>
              </w:rPr>
              <w:t>监测单位为欧宜检测认证服务（苏州）有限公司，监测时间为2024年4月1日~4月2日，昼夜各监测1次。监测气象条件见表3-5，监测结果见表3-6。</w:t>
            </w:r>
          </w:p>
          <w:p>
            <w:pPr>
              <w:pStyle w:val="23"/>
              <w:spacing w:line="400" w:lineRule="atLeast"/>
              <w:jc w:val="center"/>
              <w:rPr>
                <w:b/>
                <w:bCs/>
                <w:color w:val="auto"/>
                <w:sz w:val="21"/>
                <w:szCs w:val="21"/>
                <w:highlight w:val="none"/>
              </w:rPr>
            </w:pPr>
            <w:r>
              <w:rPr>
                <w:b/>
                <w:bCs/>
                <w:color w:val="auto"/>
                <w:sz w:val="21"/>
                <w:szCs w:val="21"/>
                <w:highlight w:val="none"/>
              </w:rPr>
              <w:t>表3-</w:t>
            </w:r>
            <w:r>
              <w:rPr>
                <w:rFonts w:hint="eastAsia"/>
                <w:b/>
                <w:bCs/>
                <w:color w:val="auto"/>
                <w:sz w:val="21"/>
                <w:szCs w:val="21"/>
                <w:highlight w:val="none"/>
              </w:rPr>
              <w:t>5</w:t>
            </w:r>
            <w:r>
              <w:rPr>
                <w:b/>
                <w:bCs/>
                <w:color w:val="auto"/>
                <w:sz w:val="21"/>
                <w:szCs w:val="21"/>
                <w:highlight w:val="none"/>
              </w:rPr>
              <w:t>监测气象条件</w:t>
            </w:r>
          </w:p>
          <w:tbl>
            <w:tblPr>
              <w:tblStyle w:val="18"/>
              <w:tblpPr w:leftFromText="180" w:rightFromText="180" w:vertAnchor="text" w:horzAnchor="page" w:tblpX="1615" w:tblpY="29"/>
              <w:tblOverlap w:val="never"/>
              <w:tblW w:w="513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1385"/>
              <w:gridCol w:w="2725"/>
              <w:gridCol w:w="23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011" w:type="pct"/>
                  <w:tcBorders>
                    <w:tl2br w:val="single" w:color="auto" w:sz="4" w:space="0"/>
                  </w:tcBorders>
                  <w:vAlign w:val="center"/>
                </w:tcPr>
                <w:p>
                  <w:pPr>
                    <w:pStyle w:val="23"/>
                    <w:jc w:val="center"/>
                    <w:rPr>
                      <w:b/>
                      <w:bCs/>
                      <w:color w:val="auto"/>
                      <w:kern w:val="2"/>
                      <w:sz w:val="21"/>
                      <w:szCs w:val="21"/>
                      <w:highlight w:val="none"/>
                    </w:rPr>
                  </w:pPr>
                  <w:r>
                    <w:rPr>
                      <w:rFonts w:hint="eastAsia"/>
                      <w:b/>
                      <w:bCs/>
                      <w:color w:val="auto"/>
                      <w:kern w:val="2"/>
                      <w:sz w:val="21"/>
                      <w:szCs w:val="21"/>
                      <w:highlight w:val="none"/>
                    </w:rPr>
                    <w:t>参数</w:t>
                  </w:r>
                </w:p>
                <w:p>
                  <w:pPr>
                    <w:pStyle w:val="23"/>
                    <w:jc w:val="both"/>
                    <w:rPr>
                      <w:b/>
                      <w:bCs/>
                      <w:color w:val="auto"/>
                      <w:kern w:val="2"/>
                      <w:sz w:val="21"/>
                      <w:szCs w:val="21"/>
                      <w:highlight w:val="none"/>
                    </w:rPr>
                  </w:pPr>
                  <w:r>
                    <w:rPr>
                      <w:rFonts w:hint="eastAsia"/>
                      <w:b/>
                      <w:bCs/>
                      <w:color w:val="auto"/>
                      <w:kern w:val="2"/>
                      <w:sz w:val="21"/>
                      <w:szCs w:val="21"/>
                      <w:highlight w:val="none"/>
                    </w:rPr>
                    <w:t>时间</w:t>
                  </w:r>
                </w:p>
              </w:tc>
              <w:tc>
                <w:tcPr>
                  <w:tcW w:w="858" w:type="pct"/>
                  <w:vAlign w:val="center"/>
                </w:tcPr>
                <w:p>
                  <w:pPr>
                    <w:pStyle w:val="23"/>
                    <w:jc w:val="center"/>
                    <w:rPr>
                      <w:b/>
                      <w:bCs/>
                      <w:color w:val="auto"/>
                      <w:kern w:val="2"/>
                      <w:sz w:val="21"/>
                      <w:szCs w:val="21"/>
                      <w:highlight w:val="none"/>
                    </w:rPr>
                  </w:pPr>
                  <w:r>
                    <w:rPr>
                      <w:rFonts w:hint="eastAsia"/>
                      <w:b/>
                      <w:bCs/>
                      <w:color w:val="auto"/>
                      <w:kern w:val="2"/>
                      <w:sz w:val="21"/>
                      <w:szCs w:val="21"/>
                      <w:highlight w:val="none"/>
                    </w:rPr>
                    <w:t>时段</w:t>
                  </w:r>
                </w:p>
              </w:tc>
              <w:tc>
                <w:tcPr>
                  <w:tcW w:w="1689" w:type="pct"/>
                  <w:vAlign w:val="center"/>
                </w:tcPr>
                <w:p>
                  <w:pPr>
                    <w:pStyle w:val="23"/>
                    <w:jc w:val="center"/>
                    <w:rPr>
                      <w:b/>
                      <w:bCs/>
                      <w:color w:val="auto"/>
                      <w:kern w:val="2"/>
                      <w:sz w:val="21"/>
                      <w:szCs w:val="21"/>
                      <w:highlight w:val="none"/>
                    </w:rPr>
                  </w:pPr>
                  <w:r>
                    <w:rPr>
                      <w:rFonts w:hint="eastAsia"/>
                      <w:b/>
                      <w:bCs/>
                      <w:color w:val="auto"/>
                      <w:kern w:val="2"/>
                      <w:sz w:val="21"/>
                      <w:szCs w:val="21"/>
                      <w:highlight w:val="none"/>
                    </w:rPr>
                    <w:t>天气状况</w:t>
                  </w:r>
                </w:p>
              </w:tc>
              <w:tc>
                <w:tcPr>
                  <w:tcW w:w="1441" w:type="pct"/>
                  <w:vAlign w:val="center"/>
                </w:tcPr>
                <w:p>
                  <w:pPr>
                    <w:pStyle w:val="23"/>
                    <w:jc w:val="center"/>
                    <w:rPr>
                      <w:b/>
                      <w:bCs/>
                      <w:color w:val="auto"/>
                      <w:kern w:val="2"/>
                      <w:sz w:val="21"/>
                      <w:szCs w:val="21"/>
                      <w:highlight w:val="none"/>
                    </w:rPr>
                  </w:pPr>
                  <w:r>
                    <w:rPr>
                      <w:rFonts w:hint="eastAsia"/>
                      <w:b/>
                      <w:bCs/>
                      <w:color w:val="auto"/>
                      <w:kern w:val="2"/>
                      <w:sz w:val="21"/>
                      <w:szCs w:val="21"/>
                      <w:highlight w:val="none"/>
                    </w:rPr>
                    <w:t>风速（m/s）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011" w:type="pct"/>
                  <w:vAlign w:val="center"/>
                </w:tcPr>
                <w:p>
                  <w:pPr>
                    <w:pStyle w:val="23"/>
                    <w:jc w:val="center"/>
                    <w:rPr>
                      <w:color w:val="auto"/>
                      <w:kern w:val="2"/>
                      <w:sz w:val="21"/>
                      <w:szCs w:val="21"/>
                      <w:highlight w:val="none"/>
                    </w:rPr>
                  </w:pPr>
                  <w:r>
                    <w:rPr>
                      <w:rFonts w:hint="eastAsia"/>
                      <w:color w:val="auto"/>
                      <w:kern w:val="2"/>
                      <w:sz w:val="21"/>
                      <w:szCs w:val="21"/>
                      <w:highlight w:val="none"/>
                    </w:rPr>
                    <w:t>2024.4.1</w:t>
                  </w:r>
                </w:p>
              </w:tc>
              <w:tc>
                <w:tcPr>
                  <w:tcW w:w="858" w:type="pct"/>
                  <w:vAlign w:val="center"/>
                </w:tcPr>
                <w:p>
                  <w:pPr>
                    <w:pStyle w:val="23"/>
                    <w:jc w:val="center"/>
                    <w:rPr>
                      <w:color w:val="auto"/>
                      <w:kern w:val="2"/>
                      <w:sz w:val="21"/>
                      <w:szCs w:val="21"/>
                      <w:highlight w:val="none"/>
                    </w:rPr>
                  </w:pPr>
                  <w:r>
                    <w:rPr>
                      <w:rFonts w:hint="eastAsia"/>
                      <w:color w:val="auto"/>
                      <w:kern w:val="2"/>
                      <w:sz w:val="21"/>
                      <w:szCs w:val="21"/>
                      <w:highlight w:val="none"/>
                    </w:rPr>
                    <w:t>昼间</w:t>
                  </w:r>
                </w:p>
              </w:tc>
              <w:tc>
                <w:tcPr>
                  <w:tcW w:w="1689" w:type="pct"/>
                  <w:vAlign w:val="center"/>
                </w:tcPr>
                <w:p>
                  <w:pPr>
                    <w:pStyle w:val="23"/>
                    <w:jc w:val="center"/>
                    <w:rPr>
                      <w:color w:val="auto"/>
                      <w:kern w:val="2"/>
                      <w:sz w:val="21"/>
                      <w:szCs w:val="21"/>
                      <w:highlight w:val="none"/>
                    </w:rPr>
                  </w:pPr>
                  <w:r>
                    <w:rPr>
                      <w:rFonts w:hint="eastAsia"/>
                      <w:color w:val="auto"/>
                      <w:kern w:val="2"/>
                      <w:sz w:val="21"/>
                      <w:szCs w:val="21"/>
                      <w:highlight w:val="none"/>
                    </w:rPr>
                    <w:t>晴</w:t>
                  </w:r>
                </w:p>
              </w:tc>
              <w:tc>
                <w:tcPr>
                  <w:tcW w:w="1441" w:type="pct"/>
                  <w:vAlign w:val="center"/>
                </w:tcPr>
                <w:p>
                  <w:pPr>
                    <w:pStyle w:val="23"/>
                    <w:jc w:val="center"/>
                    <w:rPr>
                      <w:color w:val="auto"/>
                      <w:kern w:val="2"/>
                      <w:sz w:val="21"/>
                      <w:szCs w:val="21"/>
                      <w:highlight w:val="none"/>
                    </w:rPr>
                  </w:pPr>
                  <w:r>
                    <w:rPr>
                      <w:rFonts w:hint="eastAsia"/>
                      <w:color w:val="auto"/>
                      <w:kern w:val="2"/>
                      <w:sz w:val="21"/>
                      <w:szCs w:val="21"/>
                      <w:highlight w:val="none"/>
                    </w:rPr>
                    <w:t>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011" w:type="pct"/>
                  <w:vAlign w:val="center"/>
                </w:tcPr>
                <w:p>
                  <w:pPr>
                    <w:pStyle w:val="23"/>
                    <w:jc w:val="center"/>
                    <w:rPr>
                      <w:color w:val="auto"/>
                      <w:kern w:val="2"/>
                      <w:sz w:val="21"/>
                      <w:szCs w:val="21"/>
                      <w:highlight w:val="none"/>
                    </w:rPr>
                  </w:pPr>
                  <w:r>
                    <w:rPr>
                      <w:rFonts w:hint="eastAsia"/>
                      <w:color w:val="auto"/>
                      <w:kern w:val="2"/>
                      <w:sz w:val="21"/>
                      <w:szCs w:val="21"/>
                      <w:highlight w:val="none"/>
                    </w:rPr>
                    <w:t>2024.4.1</w:t>
                  </w:r>
                </w:p>
              </w:tc>
              <w:tc>
                <w:tcPr>
                  <w:tcW w:w="858" w:type="pct"/>
                  <w:vAlign w:val="center"/>
                </w:tcPr>
                <w:p>
                  <w:pPr>
                    <w:pStyle w:val="23"/>
                    <w:jc w:val="center"/>
                    <w:rPr>
                      <w:color w:val="auto"/>
                      <w:kern w:val="2"/>
                      <w:sz w:val="21"/>
                      <w:szCs w:val="21"/>
                      <w:highlight w:val="none"/>
                    </w:rPr>
                  </w:pPr>
                  <w:r>
                    <w:rPr>
                      <w:rFonts w:hint="eastAsia"/>
                      <w:color w:val="auto"/>
                      <w:kern w:val="2"/>
                      <w:sz w:val="21"/>
                      <w:szCs w:val="21"/>
                      <w:highlight w:val="none"/>
                    </w:rPr>
                    <w:t>夜间</w:t>
                  </w:r>
                </w:p>
              </w:tc>
              <w:tc>
                <w:tcPr>
                  <w:tcW w:w="1689" w:type="pct"/>
                  <w:vAlign w:val="center"/>
                </w:tcPr>
                <w:p>
                  <w:pPr>
                    <w:pStyle w:val="23"/>
                    <w:jc w:val="center"/>
                    <w:rPr>
                      <w:color w:val="auto"/>
                      <w:kern w:val="2"/>
                      <w:sz w:val="21"/>
                      <w:szCs w:val="21"/>
                      <w:highlight w:val="none"/>
                    </w:rPr>
                  </w:pPr>
                  <w:r>
                    <w:rPr>
                      <w:rFonts w:hint="eastAsia"/>
                      <w:color w:val="auto"/>
                      <w:kern w:val="2"/>
                      <w:sz w:val="21"/>
                      <w:szCs w:val="21"/>
                      <w:highlight w:val="none"/>
                    </w:rPr>
                    <w:t>晴</w:t>
                  </w:r>
                </w:p>
              </w:tc>
              <w:tc>
                <w:tcPr>
                  <w:tcW w:w="1441" w:type="pct"/>
                  <w:vAlign w:val="center"/>
                </w:tcPr>
                <w:p>
                  <w:pPr>
                    <w:pStyle w:val="23"/>
                    <w:jc w:val="center"/>
                    <w:rPr>
                      <w:color w:val="auto"/>
                      <w:kern w:val="2"/>
                      <w:sz w:val="21"/>
                      <w:szCs w:val="21"/>
                      <w:highlight w:val="none"/>
                    </w:rPr>
                  </w:pPr>
                  <w:r>
                    <w:rPr>
                      <w:rFonts w:hint="eastAsia"/>
                      <w:color w:val="auto"/>
                      <w:kern w:val="2"/>
                      <w:sz w:val="21"/>
                      <w:szCs w:val="21"/>
                      <w:highlight w:val="none"/>
                    </w:rPr>
                    <w:t>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011" w:type="pct"/>
                  <w:vAlign w:val="center"/>
                </w:tcPr>
                <w:p>
                  <w:pPr>
                    <w:pStyle w:val="23"/>
                    <w:jc w:val="center"/>
                    <w:rPr>
                      <w:color w:val="auto"/>
                      <w:kern w:val="2"/>
                      <w:sz w:val="21"/>
                      <w:szCs w:val="21"/>
                      <w:highlight w:val="none"/>
                    </w:rPr>
                  </w:pPr>
                  <w:r>
                    <w:rPr>
                      <w:rFonts w:hint="eastAsia"/>
                      <w:color w:val="auto"/>
                      <w:kern w:val="2"/>
                      <w:sz w:val="21"/>
                      <w:szCs w:val="21"/>
                      <w:highlight w:val="none"/>
                    </w:rPr>
                    <w:t>2024.4.2</w:t>
                  </w:r>
                </w:p>
              </w:tc>
              <w:tc>
                <w:tcPr>
                  <w:tcW w:w="858" w:type="pct"/>
                  <w:vAlign w:val="center"/>
                </w:tcPr>
                <w:p>
                  <w:pPr>
                    <w:pStyle w:val="23"/>
                    <w:jc w:val="center"/>
                    <w:rPr>
                      <w:color w:val="auto"/>
                      <w:kern w:val="2"/>
                      <w:sz w:val="21"/>
                      <w:szCs w:val="21"/>
                      <w:highlight w:val="none"/>
                    </w:rPr>
                  </w:pPr>
                  <w:r>
                    <w:rPr>
                      <w:rFonts w:hint="eastAsia"/>
                      <w:color w:val="auto"/>
                      <w:kern w:val="2"/>
                      <w:sz w:val="21"/>
                      <w:szCs w:val="21"/>
                      <w:highlight w:val="none"/>
                    </w:rPr>
                    <w:t>昼间</w:t>
                  </w:r>
                </w:p>
              </w:tc>
              <w:tc>
                <w:tcPr>
                  <w:tcW w:w="1689" w:type="pct"/>
                  <w:vAlign w:val="center"/>
                </w:tcPr>
                <w:p>
                  <w:pPr>
                    <w:jc w:val="center"/>
                    <w:rPr>
                      <w:color w:val="auto"/>
                      <w:szCs w:val="21"/>
                      <w:highlight w:val="none"/>
                    </w:rPr>
                  </w:pPr>
                  <w:r>
                    <w:rPr>
                      <w:rFonts w:hint="eastAsia"/>
                      <w:color w:val="auto"/>
                      <w:szCs w:val="21"/>
                      <w:highlight w:val="none"/>
                    </w:rPr>
                    <w:t>阴</w:t>
                  </w:r>
                </w:p>
              </w:tc>
              <w:tc>
                <w:tcPr>
                  <w:tcW w:w="1441" w:type="pct"/>
                  <w:vAlign w:val="center"/>
                </w:tcPr>
                <w:p>
                  <w:pPr>
                    <w:jc w:val="center"/>
                    <w:rPr>
                      <w:color w:val="auto"/>
                      <w:szCs w:val="21"/>
                      <w:highlight w:val="none"/>
                    </w:rPr>
                  </w:pPr>
                  <w:r>
                    <w:rPr>
                      <w:rFonts w:hint="eastAsia"/>
                      <w:color w:val="auto"/>
                      <w:szCs w:val="21"/>
                      <w:highlight w:val="none"/>
                    </w:rPr>
                    <w:t>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011" w:type="pct"/>
                  <w:vAlign w:val="center"/>
                </w:tcPr>
                <w:p>
                  <w:pPr>
                    <w:pStyle w:val="23"/>
                    <w:jc w:val="center"/>
                    <w:rPr>
                      <w:color w:val="auto"/>
                      <w:kern w:val="2"/>
                      <w:sz w:val="21"/>
                      <w:szCs w:val="21"/>
                      <w:highlight w:val="none"/>
                    </w:rPr>
                  </w:pPr>
                  <w:r>
                    <w:rPr>
                      <w:rFonts w:hint="eastAsia"/>
                      <w:color w:val="auto"/>
                      <w:kern w:val="2"/>
                      <w:sz w:val="21"/>
                      <w:szCs w:val="21"/>
                      <w:highlight w:val="none"/>
                    </w:rPr>
                    <w:t>2024.4.2</w:t>
                  </w:r>
                </w:p>
              </w:tc>
              <w:tc>
                <w:tcPr>
                  <w:tcW w:w="858" w:type="pct"/>
                  <w:vAlign w:val="center"/>
                </w:tcPr>
                <w:p>
                  <w:pPr>
                    <w:pStyle w:val="23"/>
                    <w:jc w:val="center"/>
                    <w:rPr>
                      <w:color w:val="auto"/>
                      <w:kern w:val="2"/>
                      <w:sz w:val="21"/>
                      <w:szCs w:val="21"/>
                      <w:highlight w:val="none"/>
                    </w:rPr>
                  </w:pPr>
                  <w:r>
                    <w:rPr>
                      <w:rFonts w:hint="eastAsia"/>
                      <w:color w:val="auto"/>
                      <w:kern w:val="2"/>
                      <w:sz w:val="21"/>
                      <w:szCs w:val="21"/>
                      <w:highlight w:val="none"/>
                    </w:rPr>
                    <w:t>夜间</w:t>
                  </w:r>
                </w:p>
              </w:tc>
              <w:tc>
                <w:tcPr>
                  <w:tcW w:w="1689" w:type="pct"/>
                  <w:vAlign w:val="center"/>
                </w:tcPr>
                <w:p>
                  <w:pPr>
                    <w:pStyle w:val="23"/>
                    <w:jc w:val="center"/>
                    <w:rPr>
                      <w:color w:val="auto"/>
                      <w:kern w:val="2"/>
                      <w:sz w:val="21"/>
                      <w:szCs w:val="21"/>
                      <w:highlight w:val="none"/>
                    </w:rPr>
                  </w:pPr>
                  <w:r>
                    <w:rPr>
                      <w:rFonts w:hint="eastAsia"/>
                      <w:color w:val="auto"/>
                      <w:kern w:val="2"/>
                      <w:sz w:val="21"/>
                      <w:szCs w:val="21"/>
                      <w:highlight w:val="none"/>
                    </w:rPr>
                    <w:t>阴</w:t>
                  </w:r>
                </w:p>
              </w:tc>
              <w:tc>
                <w:tcPr>
                  <w:tcW w:w="1441" w:type="pct"/>
                  <w:vAlign w:val="center"/>
                </w:tcPr>
                <w:p>
                  <w:pPr>
                    <w:pStyle w:val="23"/>
                    <w:jc w:val="center"/>
                    <w:rPr>
                      <w:color w:val="auto"/>
                      <w:kern w:val="2"/>
                      <w:sz w:val="21"/>
                      <w:szCs w:val="21"/>
                      <w:highlight w:val="none"/>
                    </w:rPr>
                  </w:pPr>
                  <w:r>
                    <w:rPr>
                      <w:rFonts w:hint="eastAsia"/>
                      <w:color w:val="auto"/>
                      <w:kern w:val="2"/>
                      <w:sz w:val="21"/>
                      <w:szCs w:val="21"/>
                      <w:highlight w:val="none"/>
                    </w:rPr>
                    <w:t>1.1</w:t>
                  </w:r>
                </w:p>
              </w:tc>
            </w:tr>
          </w:tbl>
          <w:p>
            <w:pPr>
              <w:spacing w:line="400" w:lineRule="exact"/>
              <w:jc w:val="center"/>
              <w:rPr>
                <w:color w:val="auto"/>
                <w:szCs w:val="21"/>
                <w:highlight w:val="none"/>
              </w:rPr>
            </w:pPr>
            <w:r>
              <w:rPr>
                <w:b/>
                <w:bCs/>
                <w:color w:val="auto"/>
                <w:szCs w:val="21"/>
                <w:highlight w:val="none"/>
              </w:rPr>
              <w:t>表3-</w:t>
            </w:r>
            <w:r>
              <w:rPr>
                <w:rFonts w:hint="eastAsia"/>
                <w:b/>
                <w:bCs/>
                <w:color w:val="auto"/>
                <w:szCs w:val="21"/>
                <w:highlight w:val="none"/>
              </w:rPr>
              <w:t>6</w:t>
            </w:r>
            <w:r>
              <w:rPr>
                <w:b/>
                <w:bCs/>
                <w:color w:val="auto"/>
                <w:szCs w:val="21"/>
                <w:highlight w:val="none"/>
              </w:rPr>
              <w:t>本项目</w:t>
            </w:r>
            <w:r>
              <w:rPr>
                <w:rFonts w:hint="eastAsia"/>
                <w:b/>
                <w:bCs/>
                <w:color w:val="auto"/>
                <w:szCs w:val="21"/>
                <w:highlight w:val="none"/>
              </w:rPr>
              <w:t>噪声</w:t>
            </w:r>
            <w:r>
              <w:rPr>
                <w:b/>
                <w:bCs/>
                <w:color w:val="auto"/>
                <w:szCs w:val="21"/>
                <w:highlight w:val="none"/>
              </w:rPr>
              <w:t>监测结果汇总LeqdB(A)</w:t>
            </w:r>
          </w:p>
          <w:tbl>
            <w:tblPr>
              <w:tblStyle w:val="18"/>
              <w:tblW w:w="789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2036"/>
              <w:gridCol w:w="1386"/>
              <w:gridCol w:w="830"/>
              <w:gridCol w:w="818"/>
              <w:gridCol w:w="897"/>
              <w:gridCol w:w="6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pct"/>
                  <w:vMerge w:val="restart"/>
                  <w:vAlign w:val="center"/>
                </w:tcPr>
                <w:p>
                  <w:pPr>
                    <w:jc w:val="center"/>
                    <w:rPr>
                      <w:color w:val="auto"/>
                      <w:szCs w:val="21"/>
                      <w:highlight w:val="none"/>
                    </w:rPr>
                  </w:pPr>
                  <w:r>
                    <w:rPr>
                      <w:color w:val="auto"/>
                      <w:szCs w:val="21"/>
                      <w:highlight w:val="none"/>
                    </w:rPr>
                    <w:t>监测点号</w:t>
                  </w:r>
                </w:p>
              </w:tc>
              <w:tc>
                <w:tcPr>
                  <w:tcW w:w="2166" w:type="pct"/>
                  <w:gridSpan w:val="2"/>
                  <w:vAlign w:val="center"/>
                </w:tcPr>
                <w:p>
                  <w:pPr>
                    <w:jc w:val="center"/>
                    <w:rPr>
                      <w:color w:val="auto"/>
                      <w:szCs w:val="21"/>
                      <w:highlight w:val="none"/>
                    </w:rPr>
                  </w:pPr>
                  <w:r>
                    <w:rPr>
                      <w:rFonts w:hint="eastAsia"/>
                      <w:color w:val="auto"/>
                      <w:szCs w:val="21"/>
                      <w:highlight w:val="none"/>
                    </w:rPr>
                    <w:t>监测时间</w:t>
                  </w:r>
                </w:p>
              </w:tc>
              <w:tc>
                <w:tcPr>
                  <w:tcW w:w="526" w:type="pct"/>
                  <w:vMerge w:val="restart"/>
                  <w:vAlign w:val="center"/>
                </w:tcPr>
                <w:p>
                  <w:pPr>
                    <w:jc w:val="center"/>
                    <w:rPr>
                      <w:color w:val="auto"/>
                      <w:szCs w:val="21"/>
                      <w:highlight w:val="none"/>
                    </w:rPr>
                  </w:pPr>
                  <w:r>
                    <w:rPr>
                      <w:rFonts w:hint="eastAsia"/>
                      <w:color w:val="auto"/>
                      <w:szCs w:val="21"/>
                      <w:highlight w:val="none"/>
                    </w:rPr>
                    <w:t>监测结果</w:t>
                  </w:r>
                </w:p>
              </w:tc>
              <w:tc>
                <w:tcPr>
                  <w:tcW w:w="518" w:type="pct"/>
                  <w:vMerge w:val="restart"/>
                  <w:vAlign w:val="center"/>
                </w:tcPr>
                <w:p>
                  <w:pPr>
                    <w:jc w:val="center"/>
                    <w:rPr>
                      <w:color w:val="auto"/>
                      <w:szCs w:val="21"/>
                      <w:highlight w:val="none"/>
                    </w:rPr>
                  </w:pPr>
                  <w:r>
                    <w:rPr>
                      <w:color w:val="auto"/>
                      <w:szCs w:val="21"/>
                      <w:highlight w:val="none"/>
                    </w:rPr>
                    <w:t>执行标准</w:t>
                  </w:r>
                </w:p>
              </w:tc>
              <w:tc>
                <w:tcPr>
                  <w:tcW w:w="568" w:type="pct"/>
                  <w:vMerge w:val="restart"/>
                  <w:vAlign w:val="center"/>
                </w:tcPr>
                <w:p>
                  <w:pPr>
                    <w:jc w:val="center"/>
                    <w:rPr>
                      <w:color w:val="auto"/>
                      <w:szCs w:val="21"/>
                      <w:highlight w:val="none"/>
                    </w:rPr>
                  </w:pPr>
                  <w:r>
                    <w:rPr>
                      <w:color w:val="auto"/>
                      <w:szCs w:val="21"/>
                      <w:highlight w:val="none"/>
                    </w:rPr>
                    <w:t>达标情况</w:t>
                  </w:r>
                </w:p>
              </w:tc>
              <w:tc>
                <w:tcPr>
                  <w:tcW w:w="409" w:type="pct"/>
                  <w:vMerge w:val="restart"/>
                  <w:vAlign w:val="center"/>
                </w:tcPr>
                <w:p>
                  <w:pPr>
                    <w:jc w:val="center"/>
                    <w:rPr>
                      <w:color w:val="auto"/>
                      <w:szCs w:val="21"/>
                      <w:highlight w:val="none"/>
                    </w:rPr>
                  </w:pPr>
                  <w:r>
                    <w:rPr>
                      <w:rFonts w:hint="eastAsia"/>
                      <w:color w:val="auto"/>
                      <w:szCs w:val="21"/>
                      <w:highlight w:val="none"/>
                    </w:rPr>
                    <w:t>超标量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1" w:type="pct"/>
                  <w:vMerge w:val="continue"/>
                  <w:vAlign w:val="center"/>
                </w:tcPr>
                <w:p>
                  <w:pPr>
                    <w:jc w:val="center"/>
                    <w:rPr>
                      <w:color w:val="auto"/>
                      <w:szCs w:val="21"/>
                      <w:highlight w:val="none"/>
                    </w:rPr>
                  </w:pPr>
                </w:p>
              </w:tc>
              <w:tc>
                <w:tcPr>
                  <w:tcW w:w="1288" w:type="pct"/>
                  <w:vAlign w:val="center"/>
                </w:tcPr>
                <w:p>
                  <w:pPr>
                    <w:jc w:val="center"/>
                    <w:rPr>
                      <w:color w:val="auto"/>
                      <w:szCs w:val="21"/>
                      <w:highlight w:val="none"/>
                    </w:rPr>
                  </w:pPr>
                  <w:r>
                    <w:rPr>
                      <w:rFonts w:hint="eastAsia"/>
                      <w:color w:val="auto"/>
                      <w:szCs w:val="21"/>
                      <w:highlight w:val="none"/>
                    </w:rPr>
                    <w:t>日期</w:t>
                  </w:r>
                </w:p>
              </w:tc>
              <w:tc>
                <w:tcPr>
                  <w:tcW w:w="877" w:type="pct"/>
                  <w:vAlign w:val="center"/>
                </w:tcPr>
                <w:p>
                  <w:pPr>
                    <w:jc w:val="center"/>
                    <w:rPr>
                      <w:color w:val="auto"/>
                      <w:szCs w:val="21"/>
                      <w:highlight w:val="none"/>
                    </w:rPr>
                  </w:pPr>
                  <w:r>
                    <w:rPr>
                      <w:rFonts w:hint="eastAsia"/>
                      <w:color w:val="auto"/>
                      <w:szCs w:val="21"/>
                      <w:highlight w:val="none"/>
                    </w:rPr>
                    <w:t>时段</w:t>
                  </w:r>
                </w:p>
              </w:tc>
              <w:tc>
                <w:tcPr>
                  <w:tcW w:w="526" w:type="pct"/>
                  <w:vMerge w:val="continue"/>
                  <w:vAlign w:val="center"/>
                </w:tcPr>
                <w:p>
                  <w:pPr>
                    <w:jc w:val="center"/>
                    <w:rPr>
                      <w:color w:val="auto"/>
                      <w:szCs w:val="21"/>
                      <w:highlight w:val="none"/>
                    </w:rPr>
                  </w:pPr>
                </w:p>
              </w:tc>
              <w:tc>
                <w:tcPr>
                  <w:tcW w:w="518" w:type="pct"/>
                  <w:vMerge w:val="continue"/>
                  <w:vAlign w:val="center"/>
                </w:tcPr>
                <w:p>
                  <w:pPr>
                    <w:jc w:val="center"/>
                    <w:rPr>
                      <w:color w:val="auto"/>
                      <w:szCs w:val="21"/>
                      <w:highlight w:val="none"/>
                    </w:rPr>
                  </w:pPr>
                </w:p>
              </w:tc>
              <w:tc>
                <w:tcPr>
                  <w:tcW w:w="568" w:type="pct"/>
                  <w:vMerge w:val="continue"/>
                  <w:vAlign w:val="center"/>
                </w:tcPr>
                <w:p>
                  <w:pPr>
                    <w:jc w:val="center"/>
                    <w:rPr>
                      <w:color w:val="auto"/>
                      <w:szCs w:val="21"/>
                      <w:highlight w:val="none"/>
                    </w:rPr>
                  </w:pPr>
                </w:p>
              </w:tc>
              <w:tc>
                <w:tcPr>
                  <w:tcW w:w="409" w:type="pct"/>
                  <w:vMerge w:val="continue"/>
                  <w:vAlign w:val="center"/>
                </w:tcPr>
                <w:p>
                  <w:pPr>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restart"/>
                  <w:vAlign w:val="center"/>
                </w:tcPr>
                <w:p>
                  <w:pPr>
                    <w:jc w:val="center"/>
                    <w:rPr>
                      <w:color w:val="auto"/>
                      <w:szCs w:val="21"/>
                      <w:highlight w:val="none"/>
                    </w:rPr>
                  </w:pPr>
                  <w:r>
                    <w:rPr>
                      <w:rFonts w:hint="eastAsia"/>
                      <w:color w:val="auto"/>
                      <w:szCs w:val="21"/>
                      <w:highlight w:val="none"/>
                    </w:rPr>
                    <w:t>N1扬东路西延道路起点处</w:t>
                  </w:r>
                </w:p>
              </w:tc>
              <w:tc>
                <w:tcPr>
                  <w:tcW w:w="1288" w:type="pct"/>
                  <w:vMerge w:val="restart"/>
                  <w:vAlign w:val="center"/>
                </w:tcPr>
                <w:p>
                  <w:pPr>
                    <w:widowControl/>
                    <w:jc w:val="center"/>
                    <w:textAlignment w:val="center"/>
                    <w:rPr>
                      <w:color w:val="auto"/>
                      <w:sz w:val="20"/>
                      <w:szCs w:val="20"/>
                      <w:highlight w:val="none"/>
                    </w:rPr>
                  </w:pPr>
                  <w:r>
                    <w:rPr>
                      <w:color w:val="auto"/>
                      <w:sz w:val="20"/>
                      <w:szCs w:val="20"/>
                      <w:highlight w:val="none"/>
                    </w:rPr>
                    <w:t>202</w:t>
                  </w:r>
                  <w:r>
                    <w:rPr>
                      <w:rFonts w:hint="eastAsia"/>
                      <w:color w:val="auto"/>
                      <w:sz w:val="20"/>
                      <w:szCs w:val="20"/>
                      <w:highlight w:val="none"/>
                    </w:rPr>
                    <w:t>4</w:t>
                  </w:r>
                  <w:r>
                    <w:rPr>
                      <w:color w:val="auto"/>
                      <w:sz w:val="20"/>
                      <w:szCs w:val="20"/>
                      <w:highlight w:val="none"/>
                    </w:rPr>
                    <w:t>年</w:t>
                  </w:r>
                  <w:r>
                    <w:rPr>
                      <w:rFonts w:hint="eastAsia"/>
                      <w:color w:val="auto"/>
                      <w:sz w:val="20"/>
                      <w:szCs w:val="20"/>
                      <w:highlight w:val="none"/>
                    </w:rPr>
                    <w:t>4</w:t>
                  </w:r>
                  <w:r>
                    <w:rPr>
                      <w:color w:val="auto"/>
                      <w:sz w:val="20"/>
                      <w:szCs w:val="20"/>
                      <w:highlight w:val="none"/>
                    </w:rPr>
                    <w:t>月</w:t>
                  </w:r>
                  <w:r>
                    <w:rPr>
                      <w:rFonts w:hint="eastAsia"/>
                      <w:color w:val="auto"/>
                      <w:sz w:val="20"/>
                      <w:szCs w:val="20"/>
                      <w:highlight w:val="none"/>
                    </w:rPr>
                    <w:t>1</w:t>
                  </w:r>
                  <w:r>
                    <w:rPr>
                      <w:color w:val="auto"/>
                      <w:sz w:val="20"/>
                      <w:szCs w:val="20"/>
                      <w:highlight w:val="none"/>
                    </w:rPr>
                    <w:t>日</w:t>
                  </w:r>
                </w:p>
              </w:tc>
              <w:tc>
                <w:tcPr>
                  <w:tcW w:w="877" w:type="pct"/>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rPr>
                    <w:t>昼间</w:t>
                  </w:r>
                </w:p>
              </w:tc>
              <w:tc>
                <w:tcPr>
                  <w:tcW w:w="832" w:type="dxa"/>
                  <w:vAlign w:val="center"/>
                </w:tcPr>
                <w:p>
                  <w:pPr>
                    <w:widowControl/>
                    <w:jc w:val="center"/>
                    <w:textAlignment w:val="center"/>
                    <w:rPr>
                      <w:color w:val="auto"/>
                      <w:szCs w:val="21"/>
                      <w:highlight w:val="none"/>
                    </w:rPr>
                  </w:pPr>
                  <w:r>
                    <w:rPr>
                      <w:color w:val="auto"/>
                      <w:kern w:val="0"/>
                      <w:szCs w:val="21"/>
                      <w:highlight w:val="none"/>
                    </w:rPr>
                    <w:t>61.3</w:t>
                  </w:r>
                </w:p>
              </w:tc>
              <w:tc>
                <w:tcPr>
                  <w:tcW w:w="818" w:type="dxa"/>
                  <w:vAlign w:val="center"/>
                </w:tcPr>
                <w:p>
                  <w:pPr>
                    <w:widowControl/>
                    <w:jc w:val="center"/>
                    <w:textAlignment w:val="center"/>
                    <w:rPr>
                      <w:color w:val="auto"/>
                      <w:szCs w:val="21"/>
                      <w:highlight w:val="none"/>
                    </w:rPr>
                  </w:pPr>
                  <w:r>
                    <w:rPr>
                      <w:color w:val="auto"/>
                      <w:kern w:val="0"/>
                      <w:szCs w:val="21"/>
                      <w:highlight w:val="none"/>
                    </w:rPr>
                    <w:t>70</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jc w:val="center"/>
                    <w:rPr>
                      <w:color w:val="auto"/>
                      <w:szCs w:val="21"/>
                      <w:highlight w:val="none"/>
                    </w:rPr>
                  </w:pPr>
                  <w:r>
                    <w:rPr>
                      <w:rFonts w:hint="eastAsia"/>
                      <w:color w:val="auto"/>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811" w:type="pct"/>
                  <w:vMerge w:val="continue"/>
                  <w:vAlign w:val="center"/>
                </w:tcPr>
                <w:p>
                  <w:pPr>
                    <w:jc w:val="center"/>
                    <w:rPr>
                      <w:color w:val="auto"/>
                      <w:szCs w:val="21"/>
                      <w:highlight w:val="none"/>
                    </w:rPr>
                  </w:pPr>
                </w:p>
              </w:tc>
              <w:tc>
                <w:tcPr>
                  <w:tcW w:w="1288" w:type="pct"/>
                  <w:vMerge w:val="continue"/>
                  <w:vAlign w:val="center"/>
                </w:tcPr>
                <w:p>
                  <w:pPr>
                    <w:jc w:val="center"/>
                    <w:rPr>
                      <w:color w:val="auto"/>
                      <w:sz w:val="20"/>
                      <w:szCs w:val="20"/>
                      <w:highlight w:val="none"/>
                    </w:rPr>
                  </w:pPr>
                </w:p>
              </w:tc>
              <w:tc>
                <w:tcPr>
                  <w:tcW w:w="877" w:type="pct"/>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rPr>
                    <w:t>夜间</w:t>
                  </w:r>
                </w:p>
              </w:tc>
              <w:tc>
                <w:tcPr>
                  <w:tcW w:w="832" w:type="dxa"/>
                  <w:vAlign w:val="center"/>
                </w:tcPr>
                <w:p>
                  <w:pPr>
                    <w:widowControl/>
                    <w:jc w:val="center"/>
                    <w:textAlignment w:val="center"/>
                    <w:rPr>
                      <w:color w:val="auto"/>
                      <w:szCs w:val="21"/>
                      <w:highlight w:val="none"/>
                    </w:rPr>
                  </w:pPr>
                  <w:r>
                    <w:rPr>
                      <w:color w:val="auto"/>
                      <w:kern w:val="0"/>
                      <w:szCs w:val="21"/>
                      <w:highlight w:val="none"/>
                    </w:rPr>
                    <w:t>52.6</w:t>
                  </w:r>
                </w:p>
              </w:tc>
              <w:tc>
                <w:tcPr>
                  <w:tcW w:w="818" w:type="dxa"/>
                  <w:vAlign w:val="center"/>
                </w:tcPr>
                <w:p>
                  <w:pPr>
                    <w:widowControl/>
                    <w:jc w:val="center"/>
                    <w:textAlignment w:val="center"/>
                    <w:rPr>
                      <w:color w:val="auto"/>
                      <w:szCs w:val="21"/>
                      <w:highlight w:val="none"/>
                    </w:rPr>
                  </w:pPr>
                  <w:r>
                    <w:rPr>
                      <w:color w:val="auto"/>
                      <w:kern w:val="0"/>
                      <w:szCs w:val="21"/>
                      <w:highlight w:val="none"/>
                    </w:rPr>
                    <w:t>55</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1288" w:type="pct"/>
                  <w:vMerge w:val="restart"/>
                  <w:vAlign w:val="center"/>
                </w:tcPr>
                <w:p>
                  <w:pPr>
                    <w:widowControl/>
                    <w:jc w:val="center"/>
                    <w:textAlignment w:val="center"/>
                    <w:rPr>
                      <w:color w:val="auto"/>
                      <w:sz w:val="20"/>
                      <w:szCs w:val="20"/>
                      <w:highlight w:val="none"/>
                    </w:rPr>
                  </w:pPr>
                  <w:r>
                    <w:rPr>
                      <w:color w:val="auto"/>
                      <w:sz w:val="20"/>
                      <w:szCs w:val="20"/>
                      <w:highlight w:val="none"/>
                    </w:rPr>
                    <w:t>202</w:t>
                  </w:r>
                  <w:r>
                    <w:rPr>
                      <w:rFonts w:hint="eastAsia"/>
                      <w:color w:val="auto"/>
                      <w:sz w:val="20"/>
                      <w:szCs w:val="20"/>
                      <w:highlight w:val="none"/>
                    </w:rPr>
                    <w:t>4</w:t>
                  </w:r>
                  <w:r>
                    <w:rPr>
                      <w:color w:val="auto"/>
                      <w:sz w:val="20"/>
                      <w:szCs w:val="20"/>
                      <w:highlight w:val="none"/>
                    </w:rPr>
                    <w:t>年</w:t>
                  </w:r>
                  <w:r>
                    <w:rPr>
                      <w:rFonts w:hint="eastAsia"/>
                      <w:color w:val="auto"/>
                      <w:sz w:val="20"/>
                      <w:szCs w:val="20"/>
                      <w:highlight w:val="none"/>
                    </w:rPr>
                    <w:t>4</w:t>
                  </w:r>
                  <w:r>
                    <w:rPr>
                      <w:color w:val="auto"/>
                      <w:sz w:val="20"/>
                      <w:szCs w:val="20"/>
                      <w:highlight w:val="none"/>
                    </w:rPr>
                    <w:t>月</w:t>
                  </w:r>
                  <w:r>
                    <w:rPr>
                      <w:rFonts w:hint="eastAsia"/>
                      <w:color w:val="auto"/>
                      <w:sz w:val="20"/>
                      <w:szCs w:val="20"/>
                      <w:highlight w:val="none"/>
                    </w:rPr>
                    <w:t>2</w:t>
                  </w:r>
                  <w:r>
                    <w:rPr>
                      <w:color w:val="auto"/>
                      <w:sz w:val="20"/>
                      <w:szCs w:val="20"/>
                      <w:highlight w:val="none"/>
                    </w:rPr>
                    <w:t>日</w:t>
                  </w:r>
                </w:p>
              </w:tc>
              <w:tc>
                <w:tcPr>
                  <w:tcW w:w="877" w:type="pct"/>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rPr>
                    <w:t>昼间</w:t>
                  </w:r>
                </w:p>
              </w:tc>
              <w:tc>
                <w:tcPr>
                  <w:tcW w:w="832" w:type="dxa"/>
                  <w:vAlign w:val="center"/>
                </w:tcPr>
                <w:p>
                  <w:pPr>
                    <w:widowControl/>
                    <w:jc w:val="center"/>
                    <w:textAlignment w:val="center"/>
                    <w:rPr>
                      <w:color w:val="auto"/>
                      <w:szCs w:val="21"/>
                      <w:highlight w:val="none"/>
                    </w:rPr>
                  </w:pPr>
                  <w:r>
                    <w:rPr>
                      <w:color w:val="auto"/>
                      <w:kern w:val="0"/>
                      <w:szCs w:val="21"/>
                      <w:highlight w:val="none"/>
                    </w:rPr>
                    <w:t>58.7</w:t>
                  </w:r>
                </w:p>
              </w:tc>
              <w:tc>
                <w:tcPr>
                  <w:tcW w:w="818" w:type="dxa"/>
                  <w:vAlign w:val="center"/>
                </w:tcPr>
                <w:p>
                  <w:pPr>
                    <w:widowControl/>
                    <w:jc w:val="center"/>
                    <w:textAlignment w:val="center"/>
                    <w:rPr>
                      <w:color w:val="auto"/>
                      <w:szCs w:val="21"/>
                      <w:highlight w:val="none"/>
                    </w:rPr>
                  </w:pPr>
                  <w:r>
                    <w:rPr>
                      <w:color w:val="auto"/>
                      <w:kern w:val="0"/>
                      <w:szCs w:val="21"/>
                      <w:highlight w:val="none"/>
                    </w:rPr>
                    <w:t>70</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szCs w:val="21"/>
                      <w:highlight w:val="none"/>
                    </w:rPr>
                  </w:pPr>
                  <w:r>
                    <w:rPr>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1288" w:type="pct"/>
                  <w:vMerge w:val="continue"/>
                  <w:vAlign w:val="center"/>
                </w:tcPr>
                <w:p>
                  <w:pPr>
                    <w:jc w:val="center"/>
                    <w:rPr>
                      <w:color w:val="auto"/>
                      <w:sz w:val="20"/>
                      <w:szCs w:val="20"/>
                      <w:highlight w:val="none"/>
                    </w:rPr>
                  </w:pPr>
                </w:p>
              </w:tc>
              <w:tc>
                <w:tcPr>
                  <w:tcW w:w="877" w:type="pct"/>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rPr>
                    <w:t>夜间</w:t>
                  </w:r>
                </w:p>
              </w:tc>
              <w:tc>
                <w:tcPr>
                  <w:tcW w:w="832" w:type="dxa"/>
                  <w:vAlign w:val="center"/>
                </w:tcPr>
                <w:p>
                  <w:pPr>
                    <w:widowControl/>
                    <w:jc w:val="center"/>
                    <w:textAlignment w:val="center"/>
                    <w:rPr>
                      <w:color w:val="auto"/>
                      <w:szCs w:val="21"/>
                      <w:highlight w:val="none"/>
                    </w:rPr>
                  </w:pPr>
                  <w:r>
                    <w:rPr>
                      <w:color w:val="auto"/>
                      <w:kern w:val="0"/>
                      <w:szCs w:val="21"/>
                      <w:highlight w:val="none"/>
                    </w:rPr>
                    <w:t>50.9</w:t>
                  </w:r>
                </w:p>
              </w:tc>
              <w:tc>
                <w:tcPr>
                  <w:tcW w:w="818" w:type="dxa"/>
                  <w:vAlign w:val="center"/>
                </w:tcPr>
                <w:p>
                  <w:pPr>
                    <w:widowControl/>
                    <w:jc w:val="center"/>
                    <w:textAlignment w:val="center"/>
                    <w:rPr>
                      <w:color w:val="auto"/>
                      <w:szCs w:val="21"/>
                      <w:highlight w:val="none"/>
                    </w:rPr>
                  </w:pPr>
                  <w:r>
                    <w:rPr>
                      <w:color w:val="auto"/>
                      <w:kern w:val="0"/>
                      <w:szCs w:val="21"/>
                      <w:highlight w:val="none"/>
                    </w:rPr>
                    <w:t>55</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restart"/>
                  <w:vAlign w:val="center"/>
                </w:tcPr>
                <w:p>
                  <w:pPr>
                    <w:jc w:val="center"/>
                    <w:rPr>
                      <w:color w:val="auto"/>
                      <w:szCs w:val="21"/>
                      <w:highlight w:val="none"/>
                    </w:rPr>
                  </w:pPr>
                  <w:r>
                    <w:rPr>
                      <w:rFonts w:hint="eastAsia"/>
                      <w:color w:val="auto"/>
                      <w:szCs w:val="21"/>
                      <w:highlight w:val="none"/>
                    </w:rPr>
                    <w:t>N2扬东路和苏嘉杭交界处</w:t>
                  </w:r>
                </w:p>
              </w:tc>
              <w:tc>
                <w:tcPr>
                  <w:tcW w:w="2034" w:type="dxa"/>
                  <w:vMerge w:val="restart"/>
                  <w:vAlign w:val="center"/>
                </w:tcPr>
                <w:p>
                  <w:pPr>
                    <w:widowControl/>
                    <w:jc w:val="center"/>
                    <w:textAlignment w:val="center"/>
                    <w:rPr>
                      <w:color w:val="auto"/>
                      <w:sz w:val="20"/>
                      <w:szCs w:val="20"/>
                      <w:highlight w:val="none"/>
                    </w:rPr>
                  </w:pPr>
                  <w:r>
                    <w:rPr>
                      <w:color w:val="auto"/>
                      <w:sz w:val="20"/>
                      <w:szCs w:val="20"/>
                      <w:highlight w:val="none"/>
                    </w:rPr>
                    <w:t>202</w:t>
                  </w:r>
                  <w:r>
                    <w:rPr>
                      <w:rFonts w:hint="eastAsia"/>
                      <w:color w:val="auto"/>
                      <w:sz w:val="20"/>
                      <w:szCs w:val="20"/>
                      <w:highlight w:val="none"/>
                    </w:rPr>
                    <w:t>4</w:t>
                  </w:r>
                  <w:r>
                    <w:rPr>
                      <w:color w:val="auto"/>
                      <w:sz w:val="20"/>
                      <w:szCs w:val="20"/>
                      <w:highlight w:val="none"/>
                    </w:rPr>
                    <w:t>年</w:t>
                  </w:r>
                  <w:r>
                    <w:rPr>
                      <w:rFonts w:hint="eastAsia"/>
                      <w:color w:val="auto"/>
                      <w:sz w:val="20"/>
                      <w:szCs w:val="20"/>
                      <w:highlight w:val="none"/>
                    </w:rPr>
                    <w:t>4</w:t>
                  </w:r>
                  <w:r>
                    <w:rPr>
                      <w:color w:val="auto"/>
                      <w:sz w:val="20"/>
                      <w:szCs w:val="20"/>
                      <w:highlight w:val="none"/>
                    </w:rPr>
                    <w:t>月</w:t>
                  </w:r>
                  <w:r>
                    <w:rPr>
                      <w:rFonts w:hint="eastAsia"/>
                      <w:color w:val="auto"/>
                      <w:sz w:val="20"/>
                      <w:szCs w:val="20"/>
                      <w:highlight w:val="none"/>
                    </w:rPr>
                    <w:t>1</w:t>
                  </w:r>
                  <w:r>
                    <w:rPr>
                      <w:color w:val="auto"/>
                      <w:sz w:val="20"/>
                      <w:szCs w:val="20"/>
                      <w:highlight w:val="none"/>
                    </w:rPr>
                    <w:t>日</w:t>
                  </w:r>
                </w:p>
              </w:tc>
              <w:tc>
                <w:tcPr>
                  <w:tcW w:w="877" w:type="pct"/>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rPr>
                    <w:t>昼间</w:t>
                  </w:r>
                </w:p>
              </w:tc>
              <w:tc>
                <w:tcPr>
                  <w:tcW w:w="832" w:type="dxa"/>
                  <w:vAlign w:val="center"/>
                </w:tcPr>
                <w:p>
                  <w:pPr>
                    <w:widowControl/>
                    <w:jc w:val="center"/>
                    <w:textAlignment w:val="center"/>
                    <w:rPr>
                      <w:color w:val="auto"/>
                      <w:szCs w:val="21"/>
                      <w:highlight w:val="none"/>
                    </w:rPr>
                  </w:pPr>
                  <w:r>
                    <w:rPr>
                      <w:color w:val="auto"/>
                      <w:kern w:val="0"/>
                      <w:szCs w:val="21"/>
                      <w:highlight w:val="none"/>
                    </w:rPr>
                    <w:t>59</w:t>
                  </w:r>
                </w:p>
              </w:tc>
              <w:tc>
                <w:tcPr>
                  <w:tcW w:w="818" w:type="dxa"/>
                  <w:vAlign w:val="center"/>
                </w:tcPr>
                <w:p>
                  <w:pPr>
                    <w:widowControl/>
                    <w:jc w:val="center"/>
                    <w:textAlignment w:val="center"/>
                    <w:rPr>
                      <w:color w:val="auto"/>
                      <w:szCs w:val="21"/>
                      <w:highlight w:val="none"/>
                    </w:rPr>
                  </w:pPr>
                  <w:r>
                    <w:rPr>
                      <w:color w:val="auto"/>
                      <w:kern w:val="0"/>
                      <w:szCs w:val="21"/>
                      <w:highlight w:val="none"/>
                    </w:rPr>
                    <w:t>70</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1288" w:type="pct"/>
                  <w:vMerge w:val="continue"/>
                  <w:vAlign w:val="center"/>
                </w:tcPr>
                <w:p>
                  <w:pPr>
                    <w:jc w:val="center"/>
                    <w:rPr>
                      <w:color w:val="auto"/>
                      <w:sz w:val="20"/>
                      <w:szCs w:val="20"/>
                      <w:highlight w:val="none"/>
                    </w:rPr>
                  </w:pPr>
                </w:p>
              </w:tc>
              <w:tc>
                <w:tcPr>
                  <w:tcW w:w="877" w:type="pct"/>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rPr>
                    <w:t>夜间</w:t>
                  </w:r>
                </w:p>
              </w:tc>
              <w:tc>
                <w:tcPr>
                  <w:tcW w:w="832" w:type="dxa"/>
                  <w:vAlign w:val="center"/>
                </w:tcPr>
                <w:p>
                  <w:pPr>
                    <w:widowControl/>
                    <w:jc w:val="center"/>
                    <w:textAlignment w:val="center"/>
                    <w:rPr>
                      <w:color w:val="auto"/>
                      <w:szCs w:val="21"/>
                      <w:highlight w:val="none"/>
                    </w:rPr>
                  </w:pPr>
                  <w:r>
                    <w:rPr>
                      <w:color w:val="auto"/>
                      <w:kern w:val="0"/>
                      <w:szCs w:val="21"/>
                      <w:highlight w:val="none"/>
                    </w:rPr>
                    <w:t>51.3</w:t>
                  </w:r>
                </w:p>
              </w:tc>
              <w:tc>
                <w:tcPr>
                  <w:tcW w:w="818" w:type="dxa"/>
                  <w:vAlign w:val="center"/>
                </w:tcPr>
                <w:p>
                  <w:pPr>
                    <w:widowControl/>
                    <w:jc w:val="center"/>
                    <w:textAlignment w:val="center"/>
                    <w:rPr>
                      <w:color w:val="auto"/>
                      <w:szCs w:val="21"/>
                      <w:highlight w:val="none"/>
                    </w:rPr>
                  </w:pPr>
                  <w:r>
                    <w:rPr>
                      <w:color w:val="auto"/>
                      <w:kern w:val="0"/>
                      <w:szCs w:val="21"/>
                      <w:highlight w:val="none"/>
                    </w:rPr>
                    <w:t>55</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2034" w:type="dxa"/>
                  <w:vMerge w:val="restart"/>
                  <w:vAlign w:val="center"/>
                </w:tcPr>
                <w:p>
                  <w:pPr>
                    <w:widowControl/>
                    <w:jc w:val="center"/>
                    <w:textAlignment w:val="center"/>
                    <w:rPr>
                      <w:color w:val="auto"/>
                      <w:sz w:val="20"/>
                      <w:szCs w:val="20"/>
                      <w:highlight w:val="none"/>
                    </w:rPr>
                  </w:pPr>
                  <w:r>
                    <w:rPr>
                      <w:color w:val="auto"/>
                      <w:sz w:val="20"/>
                      <w:szCs w:val="20"/>
                      <w:highlight w:val="none"/>
                    </w:rPr>
                    <w:t>202</w:t>
                  </w:r>
                  <w:r>
                    <w:rPr>
                      <w:rFonts w:hint="eastAsia"/>
                      <w:color w:val="auto"/>
                      <w:sz w:val="20"/>
                      <w:szCs w:val="20"/>
                      <w:highlight w:val="none"/>
                    </w:rPr>
                    <w:t>4</w:t>
                  </w:r>
                  <w:r>
                    <w:rPr>
                      <w:color w:val="auto"/>
                      <w:sz w:val="20"/>
                      <w:szCs w:val="20"/>
                      <w:highlight w:val="none"/>
                    </w:rPr>
                    <w:t>年</w:t>
                  </w:r>
                  <w:r>
                    <w:rPr>
                      <w:rFonts w:hint="eastAsia"/>
                      <w:color w:val="auto"/>
                      <w:sz w:val="20"/>
                      <w:szCs w:val="20"/>
                      <w:highlight w:val="none"/>
                    </w:rPr>
                    <w:t>4</w:t>
                  </w:r>
                  <w:r>
                    <w:rPr>
                      <w:color w:val="auto"/>
                      <w:sz w:val="20"/>
                      <w:szCs w:val="20"/>
                      <w:highlight w:val="none"/>
                    </w:rPr>
                    <w:t>月</w:t>
                  </w:r>
                  <w:r>
                    <w:rPr>
                      <w:rFonts w:hint="eastAsia"/>
                      <w:color w:val="auto"/>
                      <w:sz w:val="20"/>
                      <w:szCs w:val="20"/>
                      <w:highlight w:val="none"/>
                    </w:rPr>
                    <w:t>2</w:t>
                  </w:r>
                  <w:r>
                    <w:rPr>
                      <w:color w:val="auto"/>
                      <w:sz w:val="20"/>
                      <w:szCs w:val="20"/>
                      <w:highlight w:val="none"/>
                    </w:rPr>
                    <w:t>日</w:t>
                  </w:r>
                </w:p>
              </w:tc>
              <w:tc>
                <w:tcPr>
                  <w:tcW w:w="877" w:type="pct"/>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rPr>
                    <w:t>昼间</w:t>
                  </w:r>
                </w:p>
              </w:tc>
              <w:tc>
                <w:tcPr>
                  <w:tcW w:w="832" w:type="dxa"/>
                  <w:vAlign w:val="center"/>
                </w:tcPr>
                <w:p>
                  <w:pPr>
                    <w:widowControl/>
                    <w:jc w:val="center"/>
                    <w:textAlignment w:val="center"/>
                    <w:rPr>
                      <w:color w:val="auto"/>
                      <w:szCs w:val="21"/>
                      <w:highlight w:val="none"/>
                    </w:rPr>
                  </w:pPr>
                  <w:r>
                    <w:rPr>
                      <w:color w:val="auto"/>
                      <w:kern w:val="0"/>
                      <w:szCs w:val="21"/>
                      <w:highlight w:val="none"/>
                    </w:rPr>
                    <w:t>60.1</w:t>
                  </w:r>
                </w:p>
              </w:tc>
              <w:tc>
                <w:tcPr>
                  <w:tcW w:w="818" w:type="dxa"/>
                  <w:vAlign w:val="center"/>
                </w:tcPr>
                <w:p>
                  <w:pPr>
                    <w:widowControl/>
                    <w:jc w:val="center"/>
                    <w:textAlignment w:val="center"/>
                    <w:rPr>
                      <w:color w:val="auto"/>
                      <w:szCs w:val="21"/>
                      <w:highlight w:val="none"/>
                    </w:rPr>
                  </w:pPr>
                  <w:r>
                    <w:rPr>
                      <w:color w:val="auto"/>
                      <w:kern w:val="0"/>
                      <w:szCs w:val="21"/>
                      <w:highlight w:val="none"/>
                    </w:rPr>
                    <w:t>70</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1288" w:type="pct"/>
                  <w:vMerge w:val="continue"/>
                  <w:vAlign w:val="center"/>
                </w:tcPr>
                <w:p>
                  <w:pPr>
                    <w:jc w:val="center"/>
                    <w:rPr>
                      <w:color w:val="auto"/>
                      <w:sz w:val="20"/>
                      <w:szCs w:val="20"/>
                      <w:highlight w:val="none"/>
                    </w:rPr>
                  </w:pPr>
                </w:p>
              </w:tc>
              <w:tc>
                <w:tcPr>
                  <w:tcW w:w="877" w:type="pct"/>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rPr>
                    <w:t>夜间</w:t>
                  </w:r>
                </w:p>
              </w:tc>
              <w:tc>
                <w:tcPr>
                  <w:tcW w:w="832" w:type="dxa"/>
                  <w:vAlign w:val="center"/>
                </w:tcPr>
                <w:p>
                  <w:pPr>
                    <w:widowControl/>
                    <w:jc w:val="center"/>
                    <w:textAlignment w:val="center"/>
                    <w:rPr>
                      <w:color w:val="auto"/>
                      <w:szCs w:val="21"/>
                      <w:highlight w:val="none"/>
                    </w:rPr>
                  </w:pPr>
                  <w:r>
                    <w:rPr>
                      <w:color w:val="auto"/>
                      <w:kern w:val="0"/>
                      <w:szCs w:val="21"/>
                      <w:highlight w:val="none"/>
                    </w:rPr>
                    <w:t>51.3</w:t>
                  </w:r>
                </w:p>
              </w:tc>
              <w:tc>
                <w:tcPr>
                  <w:tcW w:w="818" w:type="dxa"/>
                  <w:vAlign w:val="center"/>
                </w:tcPr>
                <w:p>
                  <w:pPr>
                    <w:widowControl/>
                    <w:jc w:val="center"/>
                    <w:textAlignment w:val="center"/>
                    <w:rPr>
                      <w:color w:val="auto"/>
                      <w:szCs w:val="21"/>
                      <w:highlight w:val="none"/>
                    </w:rPr>
                  </w:pPr>
                  <w:r>
                    <w:rPr>
                      <w:color w:val="auto"/>
                      <w:kern w:val="0"/>
                      <w:szCs w:val="21"/>
                      <w:highlight w:val="none"/>
                    </w:rPr>
                    <w:t>55</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3" w:hRule="atLeast"/>
                <w:jc w:val="center"/>
              </w:trPr>
              <w:tc>
                <w:tcPr>
                  <w:tcW w:w="811" w:type="pct"/>
                  <w:vMerge w:val="restart"/>
                  <w:vAlign w:val="center"/>
                </w:tcPr>
                <w:p>
                  <w:pPr>
                    <w:jc w:val="center"/>
                    <w:rPr>
                      <w:color w:val="auto"/>
                      <w:szCs w:val="21"/>
                      <w:highlight w:val="none"/>
                    </w:rPr>
                  </w:pPr>
                  <w:r>
                    <w:rPr>
                      <w:rFonts w:hint="eastAsia"/>
                      <w:color w:val="auto"/>
                      <w:szCs w:val="21"/>
                      <w:highlight w:val="none"/>
                    </w:rPr>
                    <w:t>N3道路与外塘河交界处</w:t>
                  </w:r>
                </w:p>
              </w:tc>
              <w:tc>
                <w:tcPr>
                  <w:tcW w:w="2034" w:type="dxa"/>
                  <w:vMerge w:val="restart"/>
                  <w:vAlign w:val="center"/>
                </w:tcPr>
                <w:p>
                  <w:pPr>
                    <w:widowControl/>
                    <w:jc w:val="center"/>
                    <w:textAlignment w:val="center"/>
                    <w:rPr>
                      <w:color w:val="auto"/>
                      <w:sz w:val="20"/>
                      <w:szCs w:val="20"/>
                      <w:highlight w:val="none"/>
                    </w:rPr>
                  </w:pPr>
                  <w:r>
                    <w:rPr>
                      <w:color w:val="auto"/>
                      <w:sz w:val="20"/>
                      <w:szCs w:val="20"/>
                      <w:highlight w:val="none"/>
                    </w:rPr>
                    <w:t>202</w:t>
                  </w:r>
                  <w:r>
                    <w:rPr>
                      <w:rFonts w:hint="eastAsia"/>
                      <w:color w:val="auto"/>
                      <w:sz w:val="20"/>
                      <w:szCs w:val="20"/>
                      <w:highlight w:val="none"/>
                    </w:rPr>
                    <w:t>4</w:t>
                  </w:r>
                  <w:r>
                    <w:rPr>
                      <w:color w:val="auto"/>
                      <w:sz w:val="20"/>
                      <w:szCs w:val="20"/>
                      <w:highlight w:val="none"/>
                    </w:rPr>
                    <w:t>年</w:t>
                  </w:r>
                  <w:r>
                    <w:rPr>
                      <w:rFonts w:hint="eastAsia"/>
                      <w:color w:val="auto"/>
                      <w:sz w:val="20"/>
                      <w:szCs w:val="20"/>
                      <w:highlight w:val="none"/>
                    </w:rPr>
                    <w:t>4</w:t>
                  </w:r>
                  <w:r>
                    <w:rPr>
                      <w:color w:val="auto"/>
                      <w:sz w:val="20"/>
                      <w:szCs w:val="20"/>
                      <w:highlight w:val="none"/>
                    </w:rPr>
                    <w:t>月</w:t>
                  </w:r>
                  <w:r>
                    <w:rPr>
                      <w:rFonts w:hint="eastAsia"/>
                      <w:color w:val="auto"/>
                      <w:sz w:val="20"/>
                      <w:szCs w:val="20"/>
                      <w:highlight w:val="none"/>
                    </w:rPr>
                    <w:t>1</w:t>
                  </w:r>
                  <w:r>
                    <w:rPr>
                      <w:color w:val="auto"/>
                      <w:sz w:val="20"/>
                      <w:szCs w:val="20"/>
                      <w:highlight w:val="none"/>
                    </w:rPr>
                    <w:t>日</w:t>
                  </w:r>
                </w:p>
              </w:tc>
              <w:tc>
                <w:tcPr>
                  <w:tcW w:w="877" w:type="pct"/>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rPr>
                    <w:t>昼间</w:t>
                  </w:r>
                </w:p>
              </w:tc>
              <w:tc>
                <w:tcPr>
                  <w:tcW w:w="832" w:type="dxa"/>
                  <w:vAlign w:val="center"/>
                </w:tcPr>
                <w:p>
                  <w:pPr>
                    <w:widowControl/>
                    <w:jc w:val="center"/>
                    <w:textAlignment w:val="center"/>
                    <w:rPr>
                      <w:color w:val="auto"/>
                      <w:szCs w:val="21"/>
                      <w:highlight w:val="none"/>
                    </w:rPr>
                  </w:pPr>
                  <w:r>
                    <w:rPr>
                      <w:color w:val="auto"/>
                      <w:kern w:val="0"/>
                      <w:szCs w:val="21"/>
                      <w:highlight w:val="none"/>
                    </w:rPr>
                    <w:t>58.8</w:t>
                  </w:r>
                </w:p>
              </w:tc>
              <w:tc>
                <w:tcPr>
                  <w:tcW w:w="818" w:type="dxa"/>
                  <w:vAlign w:val="center"/>
                </w:tcPr>
                <w:p>
                  <w:pPr>
                    <w:widowControl/>
                    <w:jc w:val="center"/>
                    <w:textAlignment w:val="center"/>
                    <w:rPr>
                      <w:color w:val="auto"/>
                      <w:szCs w:val="21"/>
                      <w:highlight w:val="none"/>
                    </w:rPr>
                  </w:pPr>
                  <w:r>
                    <w:rPr>
                      <w:color w:val="auto"/>
                      <w:kern w:val="0"/>
                      <w:szCs w:val="21"/>
                      <w:highlight w:val="none"/>
                    </w:rPr>
                    <w:t>70</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1288" w:type="pct"/>
                  <w:vMerge w:val="continue"/>
                  <w:vAlign w:val="center"/>
                </w:tcPr>
                <w:p>
                  <w:pPr>
                    <w:jc w:val="center"/>
                    <w:rPr>
                      <w:color w:val="auto"/>
                      <w:sz w:val="20"/>
                      <w:szCs w:val="20"/>
                      <w:highlight w:val="none"/>
                    </w:rPr>
                  </w:pPr>
                </w:p>
              </w:tc>
              <w:tc>
                <w:tcPr>
                  <w:tcW w:w="877" w:type="pct"/>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rPr>
                    <w:t>夜间</w:t>
                  </w:r>
                </w:p>
              </w:tc>
              <w:tc>
                <w:tcPr>
                  <w:tcW w:w="832" w:type="dxa"/>
                  <w:vAlign w:val="center"/>
                </w:tcPr>
                <w:p>
                  <w:pPr>
                    <w:widowControl/>
                    <w:jc w:val="center"/>
                    <w:textAlignment w:val="center"/>
                    <w:rPr>
                      <w:color w:val="auto"/>
                      <w:szCs w:val="21"/>
                      <w:highlight w:val="none"/>
                    </w:rPr>
                  </w:pPr>
                  <w:r>
                    <w:rPr>
                      <w:color w:val="auto"/>
                      <w:kern w:val="0"/>
                      <w:szCs w:val="21"/>
                      <w:highlight w:val="none"/>
                    </w:rPr>
                    <w:t>50.3</w:t>
                  </w:r>
                </w:p>
              </w:tc>
              <w:tc>
                <w:tcPr>
                  <w:tcW w:w="818" w:type="dxa"/>
                  <w:vAlign w:val="center"/>
                </w:tcPr>
                <w:p>
                  <w:pPr>
                    <w:widowControl/>
                    <w:jc w:val="center"/>
                    <w:textAlignment w:val="center"/>
                    <w:rPr>
                      <w:color w:val="auto"/>
                      <w:szCs w:val="21"/>
                      <w:highlight w:val="none"/>
                    </w:rPr>
                  </w:pPr>
                  <w:r>
                    <w:rPr>
                      <w:color w:val="auto"/>
                      <w:kern w:val="0"/>
                      <w:szCs w:val="21"/>
                      <w:highlight w:val="none"/>
                    </w:rPr>
                    <w:t>55</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2034" w:type="dxa"/>
                  <w:vMerge w:val="restart"/>
                  <w:vAlign w:val="center"/>
                </w:tcPr>
                <w:p>
                  <w:pPr>
                    <w:widowControl/>
                    <w:jc w:val="center"/>
                    <w:textAlignment w:val="center"/>
                    <w:rPr>
                      <w:color w:val="auto"/>
                      <w:sz w:val="20"/>
                      <w:szCs w:val="20"/>
                      <w:highlight w:val="none"/>
                    </w:rPr>
                  </w:pPr>
                  <w:r>
                    <w:rPr>
                      <w:color w:val="auto"/>
                      <w:sz w:val="20"/>
                      <w:szCs w:val="20"/>
                      <w:highlight w:val="none"/>
                    </w:rPr>
                    <w:t>202</w:t>
                  </w:r>
                  <w:r>
                    <w:rPr>
                      <w:rFonts w:hint="eastAsia"/>
                      <w:color w:val="auto"/>
                      <w:sz w:val="20"/>
                      <w:szCs w:val="20"/>
                      <w:highlight w:val="none"/>
                    </w:rPr>
                    <w:t>4</w:t>
                  </w:r>
                  <w:r>
                    <w:rPr>
                      <w:color w:val="auto"/>
                      <w:sz w:val="20"/>
                      <w:szCs w:val="20"/>
                      <w:highlight w:val="none"/>
                    </w:rPr>
                    <w:t>年</w:t>
                  </w:r>
                  <w:r>
                    <w:rPr>
                      <w:rFonts w:hint="eastAsia"/>
                      <w:color w:val="auto"/>
                      <w:sz w:val="20"/>
                      <w:szCs w:val="20"/>
                      <w:highlight w:val="none"/>
                    </w:rPr>
                    <w:t>4</w:t>
                  </w:r>
                  <w:r>
                    <w:rPr>
                      <w:color w:val="auto"/>
                      <w:sz w:val="20"/>
                      <w:szCs w:val="20"/>
                      <w:highlight w:val="none"/>
                    </w:rPr>
                    <w:t>月</w:t>
                  </w:r>
                  <w:r>
                    <w:rPr>
                      <w:rFonts w:hint="eastAsia"/>
                      <w:color w:val="auto"/>
                      <w:sz w:val="20"/>
                      <w:szCs w:val="20"/>
                      <w:highlight w:val="none"/>
                    </w:rPr>
                    <w:t>2</w:t>
                  </w:r>
                  <w:r>
                    <w:rPr>
                      <w:color w:val="auto"/>
                      <w:sz w:val="20"/>
                      <w:szCs w:val="20"/>
                      <w:highlight w:val="none"/>
                    </w:rPr>
                    <w:t>日</w:t>
                  </w:r>
                </w:p>
              </w:tc>
              <w:tc>
                <w:tcPr>
                  <w:tcW w:w="877" w:type="pct"/>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rPr>
                    <w:t>昼间</w:t>
                  </w:r>
                </w:p>
              </w:tc>
              <w:tc>
                <w:tcPr>
                  <w:tcW w:w="832" w:type="dxa"/>
                  <w:vAlign w:val="center"/>
                </w:tcPr>
                <w:p>
                  <w:pPr>
                    <w:widowControl/>
                    <w:jc w:val="center"/>
                    <w:textAlignment w:val="center"/>
                    <w:rPr>
                      <w:color w:val="auto"/>
                      <w:szCs w:val="21"/>
                      <w:highlight w:val="none"/>
                    </w:rPr>
                  </w:pPr>
                  <w:r>
                    <w:rPr>
                      <w:color w:val="auto"/>
                      <w:kern w:val="0"/>
                      <w:szCs w:val="21"/>
                      <w:highlight w:val="none"/>
                    </w:rPr>
                    <w:t>59.1</w:t>
                  </w:r>
                </w:p>
              </w:tc>
              <w:tc>
                <w:tcPr>
                  <w:tcW w:w="818" w:type="dxa"/>
                  <w:vAlign w:val="center"/>
                </w:tcPr>
                <w:p>
                  <w:pPr>
                    <w:widowControl/>
                    <w:jc w:val="center"/>
                    <w:textAlignment w:val="center"/>
                    <w:rPr>
                      <w:color w:val="auto"/>
                      <w:szCs w:val="21"/>
                      <w:highlight w:val="none"/>
                    </w:rPr>
                  </w:pPr>
                  <w:r>
                    <w:rPr>
                      <w:color w:val="auto"/>
                      <w:kern w:val="0"/>
                      <w:szCs w:val="21"/>
                      <w:highlight w:val="none"/>
                    </w:rPr>
                    <w:t>70</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1288" w:type="pct"/>
                  <w:vMerge w:val="continue"/>
                  <w:vAlign w:val="center"/>
                </w:tcPr>
                <w:p>
                  <w:pPr>
                    <w:jc w:val="center"/>
                    <w:rPr>
                      <w:color w:val="auto"/>
                      <w:sz w:val="20"/>
                      <w:szCs w:val="20"/>
                      <w:highlight w:val="none"/>
                    </w:rPr>
                  </w:pPr>
                </w:p>
              </w:tc>
              <w:tc>
                <w:tcPr>
                  <w:tcW w:w="877" w:type="pct"/>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rPr>
                    <w:t>夜间</w:t>
                  </w:r>
                </w:p>
              </w:tc>
              <w:tc>
                <w:tcPr>
                  <w:tcW w:w="832" w:type="dxa"/>
                  <w:vAlign w:val="center"/>
                </w:tcPr>
                <w:p>
                  <w:pPr>
                    <w:widowControl/>
                    <w:jc w:val="center"/>
                    <w:textAlignment w:val="center"/>
                    <w:rPr>
                      <w:color w:val="auto"/>
                      <w:szCs w:val="21"/>
                      <w:highlight w:val="none"/>
                    </w:rPr>
                  </w:pPr>
                  <w:r>
                    <w:rPr>
                      <w:color w:val="auto"/>
                      <w:kern w:val="0"/>
                      <w:szCs w:val="21"/>
                      <w:highlight w:val="none"/>
                    </w:rPr>
                    <w:t>52.3</w:t>
                  </w:r>
                </w:p>
              </w:tc>
              <w:tc>
                <w:tcPr>
                  <w:tcW w:w="818" w:type="dxa"/>
                  <w:vAlign w:val="center"/>
                </w:tcPr>
                <w:p>
                  <w:pPr>
                    <w:widowControl/>
                    <w:jc w:val="center"/>
                    <w:textAlignment w:val="center"/>
                    <w:rPr>
                      <w:color w:val="auto"/>
                      <w:szCs w:val="21"/>
                      <w:highlight w:val="none"/>
                    </w:rPr>
                  </w:pPr>
                  <w:r>
                    <w:rPr>
                      <w:color w:val="auto"/>
                      <w:kern w:val="0"/>
                      <w:szCs w:val="21"/>
                      <w:highlight w:val="none"/>
                    </w:rPr>
                    <w:t>55</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811" w:type="pct"/>
                  <w:vMerge w:val="restart"/>
                  <w:vAlign w:val="center"/>
                </w:tcPr>
                <w:p>
                  <w:pPr>
                    <w:jc w:val="center"/>
                    <w:rPr>
                      <w:color w:val="auto"/>
                      <w:szCs w:val="21"/>
                      <w:highlight w:val="none"/>
                    </w:rPr>
                  </w:pPr>
                  <w:r>
                    <w:rPr>
                      <w:rFonts w:hint="eastAsia"/>
                      <w:color w:val="auto"/>
                      <w:szCs w:val="21"/>
                      <w:highlight w:val="none"/>
                    </w:rPr>
                    <w:t>N4昂内·天骄花园4栋1楼</w:t>
                  </w:r>
                </w:p>
              </w:tc>
              <w:tc>
                <w:tcPr>
                  <w:tcW w:w="2034" w:type="dxa"/>
                  <w:vMerge w:val="restart"/>
                  <w:vAlign w:val="center"/>
                </w:tcPr>
                <w:p>
                  <w:pPr>
                    <w:widowControl/>
                    <w:jc w:val="center"/>
                    <w:textAlignment w:val="center"/>
                    <w:rPr>
                      <w:color w:val="auto"/>
                      <w:sz w:val="20"/>
                      <w:szCs w:val="20"/>
                      <w:highlight w:val="none"/>
                    </w:rPr>
                  </w:pPr>
                  <w:r>
                    <w:rPr>
                      <w:color w:val="auto"/>
                      <w:sz w:val="20"/>
                      <w:szCs w:val="20"/>
                      <w:highlight w:val="none"/>
                    </w:rPr>
                    <w:t>202</w:t>
                  </w:r>
                  <w:r>
                    <w:rPr>
                      <w:rFonts w:hint="eastAsia"/>
                      <w:color w:val="auto"/>
                      <w:sz w:val="20"/>
                      <w:szCs w:val="20"/>
                      <w:highlight w:val="none"/>
                    </w:rPr>
                    <w:t>4</w:t>
                  </w:r>
                  <w:r>
                    <w:rPr>
                      <w:color w:val="auto"/>
                      <w:sz w:val="20"/>
                      <w:szCs w:val="20"/>
                      <w:highlight w:val="none"/>
                    </w:rPr>
                    <w:t>年</w:t>
                  </w:r>
                  <w:r>
                    <w:rPr>
                      <w:rFonts w:hint="eastAsia"/>
                      <w:color w:val="auto"/>
                      <w:sz w:val="20"/>
                      <w:szCs w:val="20"/>
                      <w:highlight w:val="none"/>
                    </w:rPr>
                    <w:t>4</w:t>
                  </w:r>
                  <w:r>
                    <w:rPr>
                      <w:color w:val="auto"/>
                      <w:sz w:val="20"/>
                      <w:szCs w:val="20"/>
                      <w:highlight w:val="none"/>
                    </w:rPr>
                    <w:t>月</w:t>
                  </w:r>
                  <w:r>
                    <w:rPr>
                      <w:rFonts w:hint="eastAsia"/>
                      <w:color w:val="auto"/>
                      <w:sz w:val="20"/>
                      <w:szCs w:val="20"/>
                      <w:highlight w:val="none"/>
                    </w:rPr>
                    <w:t>1</w:t>
                  </w:r>
                  <w:r>
                    <w:rPr>
                      <w:color w:val="auto"/>
                      <w:sz w:val="20"/>
                      <w:szCs w:val="20"/>
                      <w:highlight w:val="none"/>
                    </w:rPr>
                    <w:t>日</w:t>
                  </w:r>
                </w:p>
              </w:tc>
              <w:tc>
                <w:tcPr>
                  <w:tcW w:w="877" w:type="pct"/>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昼间</w:t>
                  </w:r>
                </w:p>
              </w:tc>
              <w:tc>
                <w:tcPr>
                  <w:tcW w:w="832" w:type="dxa"/>
                  <w:vAlign w:val="center"/>
                </w:tcPr>
                <w:p>
                  <w:pPr>
                    <w:widowControl/>
                    <w:jc w:val="center"/>
                    <w:textAlignment w:val="center"/>
                    <w:rPr>
                      <w:color w:val="auto"/>
                      <w:szCs w:val="21"/>
                      <w:highlight w:val="none"/>
                    </w:rPr>
                  </w:pPr>
                  <w:r>
                    <w:rPr>
                      <w:color w:val="auto"/>
                      <w:kern w:val="0"/>
                      <w:szCs w:val="21"/>
                      <w:highlight w:val="none"/>
                    </w:rPr>
                    <w:t>62.3</w:t>
                  </w:r>
                </w:p>
              </w:tc>
              <w:tc>
                <w:tcPr>
                  <w:tcW w:w="818" w:type="dxa"/>
                  <w:vAlign w:val="center"/>
                </w:tcPr>
                <w:p>
                  <w:pPr>
                    <w:widowControl/>
                    <w:jc w:val="center"/>
                    <w:textAlignment w:val="center"/>
                    <w:rPr>
                      <w:color w:val="auto"/>
                      <w:szCs w:val="21"/>
                      <w:highlight w:val="none"/>
                    </w:rPr>
                  </w:pPr>
                  <w:r>
                    <w:rPr>
                      <w:color w:val="auto"/>
                      <w:kern w:val="0"/>
                      <w:szCs w:val="21"/>
                      <w:highlight w:val="none"/>
                    </w:rPr>
                    <w:t>70</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1288" w:type="pct"/>
                  <w:vMerge w:val="continue"/>
                  <w:vAlign w:val="center"/>
                </w:tcPr>
                <w:p>
                  <w:pPr>
                    <w:jc w:val="center"/>
                    <w:rPr>
                      <w:color w:val="auto"/>
                      <w:sz w:val="20"/>
                      <w:szCs w:val="20"/>
                      <w:highlight w:val="none"/>
                    </w:rPr>
                  </w:pPr>
                </w:p>
              </w:tc>
              <w:tc>
                <w:tcPr>
                  <w:tcW w:w="877" w:type="pct"/>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夜间</w:t>
                  </w:r>
                </w:p>
              </w:tc>
              <w:tc>
                <w:tcPr>
                  <w:tcW w:w="832" w:type="dxa"/>
                  <w:vAlign w:val="center"/>
                </w:tcPr>
                <w:p>
                  <w:pPr>
                    <w:widowControl/>
                    <w:jc w:val="center"/>
                    <w:textAlignment w:val="center"/>
                    <w:rPr>
                      <w:color w:val="auto"/>
                      <w:szCs w:val="21"/>
                      <w:highlight w:val="none"/>
                    </w:rPr>
                  </w:pPr>
                  <w:r>
                    <w:rPr>
                      <w:color w:val="auto"/>
                      <w:kern w:val="0"/>
                      <w:szCs w:val="21"/>
                      <w:highlight w:val="none"/>
                    </w:rPr>
                    <w:t>52.9</w:t>
                  </w:r>
                </w:p>
              </w:tc>
              <w:tc>
                <w:tcPr>
                  <w:tcW w:w="818" w:type="dxa"/>
                  <w:vAlign w:val="center"/>
                </w:tcPr>
                <w:p>
                  <w:pPr>
                    <w:widowControl/>
                    <w:jc w:val="center"/>
                    <w:textAlignment w:val="center"/>
                    <w:rPr>
                      <w:color w:val="auto"/>
                      <w:szCs w:val="21"/>
                      <w:highlight w:val="none"/>
                    </w:rPr>
                  </w:pPr>
                  <w:r>
                    <w:rPr>
                      <w:color w:val="auto"/>
                      <w:kern w:val="0"/>
                      <w:szCs w:val="21"/>
                      <w:highlight w:val="none"/>
                    </w:rPr>
                    <w:t>55</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2034" w:type="dxa"/>
                  <w:vMerge w:val="restart"/>
                  <w:vAlign w:val="center"/>
                </w:tcPr>
                <w:p>
                  <w:pPr>
                    <w:widowControl/>
                    <w:jc w:val="center"/>
                    <w:textAlignment w:val="center"/>
                    <w:rPr>
                      <w:color w:val="auto"/>
                      <w:sz w:val="20"/>
                      <w:szCs w:val="20"/>
                      <w:highlight w:val="none"/>
                    </w:rPr>
                  </w:pPr>
                  <w:r>
                    <w:rPr>
                      <w:color w:val="auto"/>
                      <w:sz w:val="20"/>
                      <w:szCs w:val="20"/>
                      <w:highlight w:val="none"/>
                    </w:rPr>
                    <w:t>202</w:t>
                  </w:r>
                  <w:r>
                    <w:rPr>
                      <w:rFonts w:hint="eastAsia"/>
                      <w:color w:val="auto"/>
                      <w:sz w:val="20"/>
                      <w:szCs w:val="20"/>
                      <w:highlight w:val="none"/>
                    </w:rPr>
                    <w:t>4</w:t>
                  </w:r>
                  <w:r>
                    <w:rPr>
                      <w:color w:val="auto"/>
                      <w:sz w:val="20"/>
                      <w:szCs w:val="20"/>
                      <w:highlight w:val="none"/>
                    </w:rPr>
                    <w:t>年</w:t>
                  </w:r>
                  <w:r>
                    <w:rPr>
                      <w:rFonts w:hint="eastAsia"/>
                      <w:color w:val="auto"/>
                      <w:sz w:val="20"/>
                      <w:szCs w:val="20"/>
                      <w:highlight w:val="none"/>
                    </w:rPr>
                    <w:t>4</w:t>
                  </w:r>
                  <w:r>
                    <w:rPr>
                      <w:color w:val="auto"/>
                      <w:sz w:val="20"/>
                      <w:szCs w:val="20"/>
                      <w:highlight w:val="none"/>
                    </w:rPr>
                    <w:t>月</w:t>
                  </w:r>
                  <w:r>
                    <w:rPr>
                      <w:rFonts w:hint="eastAsia"/>
                      <w:color w:val="auto"/>
                      <w:sz w:val="20"/>
                      <w:szCs w:val="20"/>
                      <w:highlight w:val="none"/>
                    </w:rPr>
                    <w:t>2</w:t>
                  </w:r>
                  <w:r>
                    <w:rPr>
                      <w:color w:val="auto"/>
                      <w:sz w:val="20"/>
                      <w:szCs w:val="20"/>
                      <w:highlight w:val="none"/>
                    </w:rPr>
                    <w:t>日</w:t>
                  </w:r>
                </w:p>
              </w:tc>
              <w:tc>
                <w:tcPr>
                  <w:tcW w:w="877" w:type="pct"/>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昼间</w:t>
                  </w:r>
                </w:p>
              </w:tc>
              <w:tc>
                <w:tcPr>
                  <w:tcW w:w="832" w:type="dxa"/>
                  <w:vAlign w:val="center"/>
                </w:tcPr>
                <w:p>
                  <w:pPr>
                    <w:widowControl/>
                    <w:jc w:val="center"/>
                    <w:textAlignment w:val="center"/>
                    <w:rPr>
                      <w:color w:val="auto"/>
                      <w:szCs w:val="21"/>
                      <w:highlight w:val="none"/>
                    </w:rPr>
                  </w:pPr>
                  <w:r>
                    <w:rPr>
                      <w:color w:val="auto"/>
                      <w:kern w:val="0"/>
                      <w:szCs w:val="21"/>
                      <w:highlight w:val="none"/>
                    </w:rPr>
                    <w:t>59.4</w:t>
                  </w:r>
                </w:p>
              </w:tc>
              <w:tc>
                <w:tcPr>
                  <w:tcW w:w="818" w:type="dxa"/>
                  <w:vAlign w:val="center"/>
                </w:tcPr>
                <w:p>
                  <w:pPr>
                    <w:widowControl/>
                    <w:jc w:val="center"/>
                    <w:textAlignment w:val="center"/>
                    <w:rPr>
                      <w:color w:val="auto"/>
                      <w:szCs w:val="21"/>
                      <w:highlight w:val="none"/>
                    </w:rPr>
                  </w:pPr>
                  <w:r>
                    <w:rPr>
                      <w:color w:val="auto"/>
                      <w:kern w:val="0"/>
                      <w:szCs w:val="21"/>
                      <w:highlight w:val="none"/>
                    </w:rPr>
                    <w:t>70</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1288" w:type="pct"/>
                  <w:vMerge w:val="continue"/>
                  <w:vAlign w:val="center"/>
                </w:tcPr>
                <w:p>
                  <w:pPr>
                    <w:jc w:val="center"/>
                    <w:rPr>
                      <w:color w:val="auto"/>
                      <w:szCs w:val="21"/>
                      <w:highlight w:val="none"/>
                    </w:rPr>
                  </w:pPr>
                </w:p>
              </w:tc>
              <w:tc>
                <w:tcPr>
                  <w:tcW w:w="877" w:type="pct"/>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夜间</w:t>
                  </w:r>
                </w:p>
              </w:tc>
              <w:tc>
                <w:tcPr>
                  <w:tcW w:w="832" w:type="dxa"/>
                  <w:vAlign w:val="center"/>
                </w:tcPr>
                <w:p>
                  <w:pPr>
                    <w:widowControl/>
                    <w:jc w:val="center"/>
                    <w:textAlignment w:val="center"/>
                    <w:rPr>
                      <w:color w:val="auto"/>
                      <w:szCs w:val="21"/>
                      <w:highlight w:val="none"/>
                    </w:rPr>
                  </w:pPr>
                  <w:r>
                    <w:rPr>
                      <w:color w:val="auto"/>
                      <w:kern w:val="0"/>
                      <w:szCs w:val="21"/>
                      <w:highlight w:val="none"/>
                    </w:rPr>
                    <w:t>49.3</w:t>
                  </w:r>
                </w:p>
              </w:tc>
              <w:tc>
                <w:tcPr>
                  <w:tcW w:w="818" w:type="dxa"/>
                  <w:vAlign w:val="center"/>
                </w:tcPr>
                <w:p>
                  <w:pPr>
                    <w:widowControl/>
                    <w:jc w:val="center"/>
                    <w:textAlignment w:val="center"/>
                    <w:rPr>
                      <w:color w:val="auto"/>
                      <w:szCs w:val="21"/>
                      <w:highlight w:val="none"/>
                    </w:rPr>
                  </w:pPr>
                  <w:r>
                    <w:rPr>
                      <w:color w:val="auto"/>
                      <w:kern w:val="0"/>
                      <w:szCs w:val="21"/>
                      <w:highlight w:val="none"/>
                    </w:rPr>
                    <w:t>55</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restart"/>
                  <w:vAlign w:val="center"/>
                </w:tcPr>
                <w:p>
                  <w:pPr>
                    <w:jc w:val="center"/>
                    <w:rPr>
                      <w:color w:val="auto"/>
                      <w:szCs w:val="21"/>
                      <w:highlight w:val="none"/>
                    </w:rPr>
                  </w:pPr>
                  <w:r>
                    <w:rPr>
                      <w:rFonts w:hint="eastAsia"/>
                      <w:color w:val="auto"/>
                      <w:szCs w:val="21"/>
                      <w:highlight w:val="none"/>
                    </w:rPr>
                    <w:t>N4-1昂内·天骄花园4栋5楼</w:t>
                  </w:r>
                </w:p>
              </w:tc>
              <w:tc>
                <w:tcPr>
                  <w:tcW w:w="2034" w:type="dxa"/>
                  <w:vMerge w:val="restart"/>
                  <w:vAlign w:val="center"/>
                </w:tcPr>
                <w:p>
                  <w:pPr>
                    <w:widowControl/>
                    <w:jc w:val="center"/>
                    <w:textAlignment w:val="center"/>
                    <w:rPr>
                      <w:color w:val="auto"/>
                      <w:szCs w:val="21"/>
                      <w:highlight w:val="none"/>
                    </w:rPr>
                  </w:pPr>
                  <w:r>
                    <w:rPr>
                      <w:color w:val="auto"/>
                      <w:sz w:val="20"/>
                      <w:szCs w:val="20"/>
                      <w:highlight w:val="none"/>
                    </w:rPr>
                    <w:t>202</w:t>
                  </w:r>
                  <w:r>
                    <w:rPr>
                      <w:rFonts w:hint="eastAsia"/>
                      <w:color w:val="auto"/>
                      <w:sz w:val="20"/>
                      <w:szCs w:val="20"/>
                      <w:highlight w:val="none"/>
                    </w:rPr>
                    <w:t>4</w:t>
                  </w:r>
                  <w:r>
                    <w:rPr>
                      <w:color w:val="auto"/>
                      <w:sz w:val="20"/>
                      <w:szCs w:val="20"/>
                      <w:highlight w:val="none"/>
                    </w:rPr>
                    <w:t>年</w:t>
                  </w:r>
                  <w:r>
                    <w:rPr>
                      <w:rFonts w:hint="eastAsia"/>
                      <w:color w:val="auto"/>
                      <w:sz w:val="20"/>
                      <w:szCs w:val="20"/>
                      <w:highlight w:val="none"/>
                    </w:rPr>
                    <w:t>4</w:t>
                  </w:r>
                  <w:r>
                    <w:rPr>
                      <w:color w:val="auto"/>
                      <w:sz w:val="20"/>
                      <w:szCs w:val="20"/>
                      <w:highlight w:val="none"/>
                    </w:rPr>
                    <w:t>月</w:t>
                  </w:r>
                  <w:r>
                    <w:rPr>
                      <w:rFonts w:hint="eastAsia"/>
                      <w:color w:val="auto"/>
                      <w:sz w:val="20"/>
                      <w:szCs w:val="20"/>
                      <w:highlight w:val="none"/>
                    </w:rPr>
                    <w:t>1</w:t>
                  </w:r>
                  <w:r>
                    <w:rPr>
                      <w:color w:val="auto"/>
                      <w:sz w:val="20"/>
                      <w:szCs w:val="20"/>
                      <w:highlight w:val="none"/>
                    </w:rPr>
                    <w:t>日</w:t>
                  </w:r>
                </w:p>
              </w:tc>
              <w:tc>
                <w:tcPr>
                  <w:tcW w:w="877" w:type="pct"/>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昼间</w:t>
                  </w:r>
                </w:p>
              </w:tc>
              <w:tc>
                <w:tcPr>
                  <w:tcW w:w="832" w:type="dxa"/>
                  <w:vAlign w:val="center"/>
                </w:tcPr>
                <w:p>
                  <w:pPr>
                    <w:widowControl/>
                    <w:jc w:val="center"/>
                    <w:textAlignment w:val="center"/>
                    <w:rPr>
                      <w:color w:val="auto"/>
                      <w:kern w:val="0"/>
                      <w:szCs w:val="21"/>
                      <w:highlight w:val="none"/>
                    </w:rPr>
                  </w:pPr>
                  <w:r>
                    <w:rPr>
                      <w:color w:val="auto"/>
                      <w:kern w:val="0"/>
                      <w:szCs w:val="21"/>
                      <w:highlight w:val="none"/>
                    </w:rPr>
                    <w:t>58.8</w:t>
                  </w:r>
                </w:p>
              </w:tc>
              <w:tc>
                <w:tcPr>
                  <w:tcW w:w="818" w:type="dxa"/>
                  <w:vAlign w:val="center"/>
                </w:tcPr>
                <w:p>
                  <w:pPr>
                    <w:widowControl/>
                    <w:jc w:val="center"/>
                    <w:textAlignment w:val="center"/>
                    <w:rPr>
                      <w:color w:val="auto"/>
                      <w:szCs w:val="21"/>
                      <w:highlight w:val="none"/>
                    </w:rPr>
                  </w:pPr>
                  <w:r>
                    <w:rPr>
                      <w:color w:val="auto"/>
                      <w:kern w:val="0"/>
                      <w:szCs w:val="21"/>
                      <w:highlight w:val="none"/>
                    </w:rPr>
                    <w:t>70</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kern w:val="0"/>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1288" w:type="pct"/>
                  <w:vMerge w:val="continue"/>
                  <w:vAlign w:val="center"/>
                </w:tcPr>
                <w:p>
                  <w:pPr>
                    <w:jc w:val="center"/>
                    <w:rPr>
                      <w:color w:val="auto"/>
                      <w:szCs w:val="21"/>
                      <w:highlight w:val="none"/>
                    </w:rPr>
                  </w:pPr>
                </w:p>
              </w:tc>
              <w:tc>
                <w:tcPr>
                  <w:tcW w:w="877" w:type="pct"/>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夜间</w:t>
                  </w:r>
                </w:p>
              </w:tc>
              <w:tc>
                <w:tcPr>
                  <w:tcW w:w="832" w:type="dxa"/>
                  <w:vAlign w:val="center"/>
                </w:tcPr>
                <w:p>
                  <w:pPr>
                    <w:widowControl/>
                    <w:jc w:val="center"/>
                    <w:textAlignment w:val="center"/>
                    <w:rPr>
                      <w:color w:val="auto"/>
                      <w:kern w:val="0"/>
                      <w:szCs w:val="21"/>
                      <w:highlight w:val="none"/>
                    </w:rPr>
                  </w:pPr>
                  <w:r>
                    <w:rPr>
                      <w:color w:val="auto"/>
                      <w:kern w:val="0"/>
                      <w:szCs w:val="21"/>
                      <w:highlight w:val="none"/>
                    </w:rPr>
                    <w:t>50.5</w:t>
                  </w:r>
                </w:p>
              </w:tc>
              <w:tc>
                <w:tcPr>
                  <w:tcW w:w="818" w:type="dxa"/>
                  <w:vAlign w:val="center"/>
                </w:tcPr>
                <w:p>
                  <w:pPr>
                    <w:widowControl/>
                    <w:jc w:val="center"/>
                    <w:textAlignment w:val="center"/>
                    <w:rPr>
                      <w:color w:val="auto"/>
                      <w:szCs w:val="21"/>
                      <w:highlight w:val="none"/>
                    </w:rPr>
                  </w:pPr>
                  <w:r>
                    <w:rPr>
                      <w:color w:val="auto"/>
                      <w:kern w:val="0"/>
                      <w:szCs w:val="21"/>
                      <w:highlight w:val="none"/>
                    </w:rPr>
                    <w:t>55</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kern w:val="0"/>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2034" w:type="dxa"/>
                  <w:vMerge w:val="restart"/>
                  <w:vAlign w:val="center"/>
                </w:tcPr>
                <w:p>
                  <w:pPr>
                    <w:widowControl/>
                    <w:jc w:val="center"/>
                    <w:textAlignment w:val="center"/>
                    <w:rPr>
                      <w:color w:val="auto"/>
                      <w:szCs w:val="21"/>
                      <w:highlight w:val="none"/>
                    </w:rPr>
                  </w:pPr>
                  <w:r>
                    <w:rPr>
                      <w:color w:val="auto"/>
                      <w:sz w:val="20"/>
                      <w:szCs w:val="20"/>
                      <w:highlight w:val="none"/>
                    </w:rPr>
                    <w:t>202</w:t>
                  </w:r>
                  <w:r>
                    <w:rPr>
                      <w:rFonts w:hint="eastAsia"/>
                      <w:color w:val="auto"/>
                      <w:sz w:val="20"/>
                      <w:szCs w:val="20"/>
                      <w:highlight w:val="none"/>
                    </w:rPr>
                    <w:t>4</w:t>
                  </w:r>
                  <w:r>
                    <w:rPr>
                      <w:color w:val="auto"/>
                      <w:sz w:val="20"/>
                      <w:szCs w:val="20"/>
                      <w:highlight w:val="none"/>
                    </w:rPr>
                    <w:t>年</w:t>
                  </w:r>
                  <w:r>
                    <w:rPr>
                      <w:rFonts w:hint="eastAsia"/>
                      <w:color w:val="auto"/>
                      <w:sz w:val="20"/>
                      <w:szCs w:val="20"/>
                      <w:highlight w:val="none"/>
                    </w:rPr>
                    <w:t>4</w:t>
                  </w:r>
                  <w:r>
                    <w:rPr>
                      <w:color w:val="auto"/>
                      <w:sz w:val="20"/>
                      <w:szCs w:val="20"/>
                      <w:highlight w:val="none"/>
                    </w:rPr>
                    <w:t>月</w:t>
                  </w:r>
                  <w:r>
                    <w:rPr>
                      <w:rFonts w:hint="eastAsia"/>
                      <w:color w:val="auto"/>
                      <w:sz w:val="20"/>
                      <w:szCs w:val="20"/>
                      <w:highlight w:val="none"/>
                    </w:rPr>
                    <w:t>2</w:t>
                  </w:r>
                  <w:r>
                    <w:rPr>
                      <w:color w:val="auto"/>
                      <w:sz w:val="20"/>
                      <w:szCs w:val="20"/>
                      <w:highlight w:val="none"/>
                    </w:rPr>
                    <w:t>日</w:t>
                  </w:r>
                </w:p>
              </w:tc>
              <w:tc>
                <w:tcPr>
                  <w:tcW w:w="877" w:type="pct"/>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昼间</w:t>
                  </w:r>
                </w:p>
              </w:tc>
              <w:tc>
                <w:tcPr>
                  <w:tcW w:w="832" w:type="dxa"/>
                  <w:vAlign w:val="center"/>
                </w:tcPr>
                <w:p>
                  <w:pPr>
                    <w:widowControl/>
                    <w:jc w:val="center"/>
                    <w:textAlignment w:val="center"/>
                    <w:rPr>
                      <w:color w:val="auto"/>
                      <w:kern w:val="0"/>
                      <w:szCs w:val="21"/>
                      <w:highlight w:val="none"/>
                    </w:rPr>
                  </w:pPr>
                  <w:r>
                    <w:rPr>
                      <w:color w:val="auto"/>
                      <w:kern w:val="0"/>
                      <w:szCs w:val="21"/>
                      <w:highlight w:val="none"/>
                    </w:rPr>
                    <w:t>58.1</w:t>
                  </w:r>
                </w:p>
              </w:tc>
              <w:tc>
                <w:tcPr>
                  <w:tcW w:w="818" w:type="dxa"/>
                  <w:vAlign w:val="center"/>
                </w:tcPr>
                <w:p>
                  <w:pPr>
                    <w:widowControl/>
                    <w:jc w:val="center"/>
                    <w:textAlignment w:val="center"/>
                    <w:rPr>
                      <w:color w:val="auto"/>
                      <w:szCs w:val="21"/>
                      <w:highlight w:val="none"/>
                    </w:rPr>
                  </w:pPr>
                  <w:r>
                    <w:rPr>
                      <w:color w:val="auto"/>
                      <w:kern w:val="0"/>
                      <w:szCs w:val="21"/>
                      <w:highlight w:val="none"/>
                    </w:rPr>
                    <w:t>70</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kern w:val="0"/>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1288" w:type="pct"/>
                  <w:vMerge w:val="continue"/>
                  <w:vAlign w:val="center"/>
                </w:tcPr>
                <w:p>
                  <w:pPr>
                    <w:jc w:val="center"/>
                    <w:rPr>
                      <w:color w:val="auto"/>
                      <w:szCs w:val="21"/>
                      <w:highlight w:val="none"/>
                    </w:rPr>
                  </w:pPr>
                </w:p>
              </w:tc>
              <w:tc>
                <w:tcPr>
                  <w:tcW w:w="877" w:type="pct"/>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夜间</w:t>
                  </w:r>
                </w:p>
              </w:tc>
              <w:tc>
                <w:tcPr>
                  <w:tcW w:w="832" w:type="dxa"/>
                  <w:vAlign w:val="center"/>
                </w:tcPr>
                <w:p>
                  <w:pPr>
                    <w:widowControl/>
                    <w:jc w:val="center"/>
                    <w:textAlignment w:val="center"/>
                    <w:rPr>
                      <w:color w:val="auto"/>
                      <w:kern w:val="0"/>
                      <w:szCs w:val="21"/>
                      <w:highlight w:val="none"/>
                    </w:rPr>
                  </w:pPr>
                  <w:r>
                    <w:rPr>
                      <w:color w:val="auto"/>
                      <w:kern w:val="0"/>
                      <w:szCs w:val="21"/>
                      <w:highlight w:val="none"/>
                    </w:rPr>
                    <w:t>51.5</w:t>
                  </w:r>
                </w:p>
              </w:tc>
              <w:tc>
                <w:tcPr>
                  <w:tcW w:w="818" w:type="dxa"/>
                  <w:vAlign w:val="center"/>
                </w:tcPr>
                <w:p>
                  <w:pPr>
                    <w:widowControl/>
                    <w:jc w:val="center"/>
                    <w:textAlignment w:val="center"/>
                    <w:rPr>
                      <w:color w:val="auto"/>
                      <w:szCs w:val="21"/>
                      <w:highlight w:val="none"/>
                    </w:rPr>
                  </w:pPr>
                  <w:r>
                    <w:rPr>
                      <w:color w:val="auto"/>
                      <w:kern w:val="0"/>
                      <w:szCs w:val="21"/>
                      <w:highlight w:val="none"/>
                    </w:rPr>
                    <w:t>55</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kern w:val="0"/>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restart"/>
                  <w:vAlign w:val="center"/>
                </w:tcPr>
                <w:p>
                  <w:pPr>
                    <w:jc w:val="center"/>
                    <w:rPr>
                      <w:color w:val="auto"/>
                      <w:szCs w:val="21"/>
                      <w:highlight w:val="none"/>
                    </w:rPr>
                  </w:pPr>
                  <w:r>
                    <w:rPr>
                      <w:rFonts w:hint="eastAsia"/>
                      <w:color w:val="auto"/>
                      <w:szCs w:val="21"/>
                      <w:highlight w:val="none"/>
                    </w:rPr>
                    <w:t>N4-2昂内·天骄花园4栋10楼</w:t>
                  </w:r>
                </w:p>
              </w:tc>
              <w:tc>
                <w:tcPr>
                  <w:tcW w:w="2034" w:type="dxa"/>
                  <w:vMerge w:val="restart"/>
                  <w:vAlign w:val="center"/>
                </w:tcPr>
                <w:p>
                  <w:pPr>
                    <w:widowControl/>
                    <w:jc w:val="center"/>
                    <w:textAlignment w:val="center"/>
                    <w:rPr>
                      <w:color w:val="auto"/>
                      <w:szCs w:val="21"/>
                      <w:highlight w:val="none"/>
                    </w:rPr>
                  </w:pPr>
                  <w:r>
                    <w:rPr>
                      <w:color w:val="auto"/>
                      <w:sz w:val="20"/>
                      <w:szCs w:val="20"/>
                      <w:highlight w:val="none"/>
                    </w:rPr>
                    <w:t>202</w:t>
                  </w:r>
                  <w:r>
                    <w:rPr>
                      <w:rFonts w:hint="eastAsia"/>
                      <w:color w:val="auto"/>
                      <w:sz w:val="20"/>
                      <w:szCs w:val="20"/>
                      <w:highlight w:val="none"/>
                    </w:rPr>
                    <w:t>4</w:t>
                  </w:r>
                  <w:r>
                    <w:rPr>
                      <w:color w:val="auto"/>
                      <w:sz w:val="20"/>
                      <w:szCs w:val="20"/>
                      <w:highlight w:val="none"/>
                    </w:rPr>
                    <w:t>年</w:t>
                  </w:r>
                  <w:r>
                    <w:rPr>
                      <w:rFonts w:hint="eastAsia"/>
                      <w:color w:val="auto"/>
                      <w:sz w:val="20"/>
                      <w:szCs w:val="20"/>
                      <w:highlight w:val="none"/>
                    </w:rPr>
                    <w:t>4</w:t>
                  </w:r>
                  <w:r>
                    <w:rPr>
                      <w:color w:val="auto"/>
                      <w:sz w:val="20"/>
                      <w:szCs w:val="20"/>
                      <w:highlight w:val="none"/>
                    </w:rPr>
                    <w:t>月</w:t>
                  </w:r>
                  <w:r>
                    <w:rPr>
                      <w:rFonts w:hint="eastAsia"/>
                      <w:color w:val="auto"/>
                      <w:sz w:val="20"/>
                      <w:szCs w:val="20"/>
                      <w:highlight w:val="none"/>
                    </w:rPr>
                    <w:t>1</w:t>
                  </w:r>
                  <w:r>
                    <w:rPr>
                      <w:color w:val="auto"/>
                      <w:sz w:val="20"/>
                      <w:szCs w:val="20"/>
                      <w:highlight w:val="none"/>
                    </w:rPr>
                    <w:t>日</w:t>
                  </w:r>
                </w:p>
              </w:tc>
              <w:tc>
                <w:tcPr>
                  <w:tcW w:w="877" w:type="pct"/>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昼间</w:t>
                  </w:r>
                </w:p>
              </w:tc>
              <w:tc>
                <w:tcPr>
                  <w:tcW w:w="832" w:type="dxa"/>
                  <w:vAlign w:val="center"/>
                </w:tcPr>
                <w:p>
                  <w:pPr>
                    <w:widowControl/>
                    <w:jc w:val="center"/>
                    <w:textAlignment w:val="center"/>
                    <w:rPr>
                      <w:color w:val="auto"/>
                      <w:kern w:val="0"/>
                      <w:szCs w:val="21"/>
                      <w:highlight w:val="none"/>
                    </w:rPr>
                  </w:pPr>
                  <w:r>
                    <w:rPr>
                      <w:color w:val="auto"/>
                      <w:kern w:val="0"/>
                      <w:szCs w:val="21"/>
                      <w:highlight w:val="none"/>
                    </w:rPr>
                    <w:t>58.6</w:t>
                  </w:r>
                </w:p>
              </w:tc>
              <w:tc>
                <w:tcPr>
                  <w:tcW w:w="818" w:type="dxa"/>
                  <w:vAlign w:val="center"/>
                </w:tcPr>
                <w:p>
                  <w:pPr>
                    <w:widowControl/>
                    <w:jc w:val="center"/>
                    <w:textAlignment w:val="center"/>
                    <w:rPr>
                      <w:color w:val="auto"/>
                      <w:szCs w:val="21"/>
                      <w:highlight w:val="none"/>
                    </w:rPr>
                  </w:pPr>
                  <w:r>
                    <w:rPr>
                      <w:color w:val="auto"/>
                      <w:kern w:val="0"/>
                      <w:szCs w:val="21"/>
                      <w:highlight w:val="none"/>
                    </w:rPr>
                    <w:t>70</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kern w:val="0"/>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1288" w:type="pct"/>
                  <w:vMerge w:val="continue"/>
                  <w:vAlign w:val="center"/>
                </w:tcPr>
                <w:p>
                  <w:pPr>
                    <w:jc w:val="center"/>
                    <w:rPr>
                      <w:color w:val="auto"/>
                      <w:szCs w:val="21"/>
                      <w:highlight w:val="none"/>
                    </w:rPr>
                  </w:pPr>
                </w:p>
              </w:tc>
              <w:tc>
                <w:tcPr>
                  <w:tcW w:w="877" w:type="pct"/>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夜间</w:t>
                  </w:r>
                </w:p>
              </w:tc>
              <w:tc>
                <w:tcPr>
                  <w:tcW w:w="832" w:type="dxa"/>
                  <w:vAlign w:val="center"/>
                </w:tcPr>
                <w:p>
                  <w:pPr>
                    <w:widowControl/>
                    <w:jc w:val="center"/>
                    <w:textAlignment w:val="center"/>
                    <w:rPr>
                      <w:color w:val="auto"/>
                      <w:kern w:val="0"/>
                      <w:szCs w:val="21"/>
                      <w:highlight w:val="none"/>
                    </w:rPr>
                  </w:pPr>
                  <w:r>
                    <w:rPr>
                      <w:color w:val="auto"/>
                      <w:kern w:val="0"/>
                      <w:szCs w:val="21"/>
                      <w:highlight w:val="none"/>
                    </w:rPr>
                    <w:t>49.9</w:t>
                  </w:r>
                </w:p>
              </w:tc>
              <w:tc>
                <w:tcPr>
                  <w:tcW w:w="818" w:type="dxa"/>
                  <w:vAlign w:val="center"/>
                </w:tcPr>
                <w:p>
                  <w:pPr>
                    <w:widowControl/>
                    <w:jc w:val="center"/>
                    <w:textAlignment w:val="center"/>
                    <w:rPr>
                      <w:color w:val="auto"/>
                      <w:szCs w:val="21"/>
                      <w:highlight w:val="none"/>
                    </w:rPr>
                  </w:pPr>
                  <w:r>
                    <w:rPr>
                      <w:color w:val="auto"/>
                      <w:kern w:val="0"/>
                      <w:szCs w:val="21"/>
                      <w:highlight w:val="none"/>
                    </w:rPr>
                    <w:t>55</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kern w:val="0"/>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2034" w:type="dxa"/>
                  <w:vMerge w:val="restart"/>
                  <w:vAlign w:val="center"/>
                </w:tcPr>
                <w:p>
                  <w:pPr>
                    <w:widowControl/>
                    <w:jc w:val="center"/>
                    <w:textAlignment w:val="center"/>
                    <w:rPr>
                      <w:color w:val="auto"/>
                      <w:szCs w:val="21"/>
                      <w:highlight w:val="none"/>
                    </w:rPr>
                  </w:pPr>
                  <w:r>
                    <w:rPr>
                      <w:color w:val="auto"/>
                      <w:sz w:val="20"/>
                      <w:szCs w:val="20"/>
                      <w:highlight w:val="none"/>
                    </w:rPr>
                    <w:t>202</w:t>
                  </w:r>
                  <w:r>
                    <w:rPr>
                      <w:rFonts w:hint="eastAsia"/>
                      <w:color w:val="auto"/>
                      <w:sz w:val="20"/>
                      <w:szCs w:val="20"/>
                      <w:highlight w:val="none"/>
                    </w:rPr>
                    <w:t>4</w:t>
                  </w:r>
                  <w:r>
                    <w:rPr>
                      <w:color w:val="auto"/>
                      <w:sz w:val="20"/>
                      <w:szCs w:val="20"/>
                      <w:highlight w:val="none"/>
                    </w:rPr>
                    <w:t>年</w:t>
                  </w:r>
                  <w:r>
                    <w:rPr>
                      <w:rFonts w:hint="eastAsia"/>
                      <w:color w:val="auto"/>
                      <w:sz w:val="20"/>
                      <w:szCs w:val="20"/>
                      <w:highlight w:val="none"/>
                    </w:rPr>
                    <w:t>4</w:t>
                  </w:r>
                  <w:r>
                    <w:rPr>
                      <w:color w:val="auto"/>
                      <w:sz w:val="20"/>
                      <w:szCs w:val="20"/>
                      <w:highlight w:val="none"/>
                    </w:rPr>
                    <w:t>月</w:t>
                  </w:r>
                  <w:r>
                    <w:rPr>
                      <w:rFonts w:hint="eastAsia"/>
                      <w:color w:val="auto"/>
                      <w:sz w:val="20"/>
                      <w:szCs w:val="20"/>
                      <w:highlight w:val="none"/>
                    </w:rPr>
                    <w:t>2</w:t>
                  </w:r>
                  <w:r>
                    <w:rPr>
                      <w:color w:val="auto"/>
                      <w:sz w:val="20"/>
                      <w:szCs w:val="20"/>
                      <w:highlight w:val="none"/>
                    </w:rPr>
                    <w:t>日</w:t>
                  </w:r>
                </w:p>
              </w:tc>
              <w:tc>
                <w:tcPr>
                  <w:tcW w:w="877" w:type="pct"/>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昼间</w:t>
                  </w:r>
                </w:p>
              </w:tc>
              <w:tc>
                <w:tcPr>
                  <w:tcW w:w="832" w:type="dxa"/>
                  <w:vAlign w:val="center"/>
                </w:tcPr>
                <w:p>
                  <w:pPr>
                    <w:widowControl/>
                    <w:jc w:val="center"/>
                    <w:textAlignment w:val="center"/>
                    <w:rPr>
                      <w:color w:val="auto"/>
                      <w:kern w:val="0"/>
                      <w:szCs w:val="21"/>
                      <w:highlight w:val="none"/>
                    </w:rPr>
                  </w:pPr>
                  <w:r>
                    <w:rPr>
                      <w:color w:val="auto"/>
                      <w:kern w:val="0"/>
                      <w:szCs w:val="21"/>
                      <w:highlight w:val="none"/>
                    </w:rPr>
                    <w:t>59.6</w:t>
                  </w:r>
                </w:p>
              </w:tc>
              <w:tc>
                <w:tcPr>
                  <w:tcW w:w="818" w:type="dxa"/>
                  <w:vAlign w:val="center"/>
                </w:tcPr>
                <w:p>
                  <w:pPr>
                    <w:widowControl/>
                    <w:jc w:val="center"/>
                    <w:textAlignment w:val="center"/>
                    <w:rPr>
                      <w:color w:val="auto"/>
                      <w:szCs w:val="21"/>
                      <w:highlight w:val="none"/>
                    </w:rPr>
                  </w:pPr>
                  <w:r>
                    <w:rPr>
                      <w:color w:val="auto"/>
                      <w:kern w:val="0"/>
                      <w:szCs w:val="21"/>
                      <w:highlight w:val="none"/>
                    </w:rPr>
                    <w:t>70</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kern w:val="0"/>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1288" w:type="pct"/>
                  <w:vMerge w:val="continue"/>
                  <w:vAlign w:val="center"/>
                </w:tcPr>
                <w:p>
                  <w:pPr>
                    <w:jc w:val="center"/>
                    <w:rPr>
                      <w:color w:val="auto"/>
                      <w:szCs w:val="21"/>
                      <w:highlight w:val="none"/>
                    </w:rPr>
                  </w:pPr>
                </w:p>
              </w:tc>
              <w:tc>
                <w:tcPr>
                  <w:tcW w:w="877" w:type="pct"/>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夜间</w:t>
                  </w:r>
                </w:p>
              </w:tc>
              <w:tc>
                <w:tcPr>
                  <w:tcW w:w="832" w:type="dxa"/>
                  <w:vAlign w:val="center"/>
                </w:tcPr>
                <w:p>
                  <w:pPr>
                    <w:widowControl/>
                    <w:jc w:val="center"/>
                    <w:textAlignment w:val="center"/>
                    <w:rPr>
                      <w:color w:val="auto"/>
                      <w:kern w:val="0"/>
                      <w:szCs w:val="21"/>
                      <w:highlight w:val="none"/>
                    </w:rPr>
                  </w:pPr>
                  <w:r>
                    <w:rPr>
                      <w:color w:val="auto"/>
                      <w:kern w:val="0"/>
                      <w:szCs w:val="21"/>
                      <w:highlight w:val="none"/>
                    </w:rPr>
                    <w:t>49.4</w:t>
                  </w:r>
                </w:p>
              </w:tc>
              <w:tc>
                <w:tcPr>
                  <w:tcW w:w="818" w:type="dxa"/>
                  <w:vAlign w:val="center"/>
                </w:tcPr>
                <w:p>
                  <w:pPr>
                    <w:widowControl/>
                    <w:jc w:val="center"/>
                    <w:textAlignment w:val="center"/>
                    <w:rPr>
                      <w:color w:val="auto"/>
                      <w:szCs w:val="21"/>
                      <w:highlight w:val="none"/>
                    </w:rPr>
                  </w:pPr>
                  <w:r>
                    <w:rPr>
                      <w:color w:val="auto"/>
                      <w:kern w:val="0"/>
                      <w:szCs w:val="21"/>
                      <w:highlight w:val="none"/>
                    </w:rPr>
                    <w:t>55</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kern w:val="0"/>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restart"/>
                  <w:vAlign w:val="center"/>
                </w:tcPr>
                <w:p>
                  <w:pPr>
                    <w:jc w:val="center"/>
                    <w:rPr>
                      <w:color w:val="auto"/>
                      <w:szCs w:val="21"/>
                      <w:highlight w:val="none"/>
                    </w:rPr>
                  </w:pPr>
                  <w:r>
                    <w:rPr>
                      <w:rFonts w:hint="eastAsia"/>
                      <w:color w:val="auto"/>
                      <w:szCs w:val="21"/>
                      <w:highlight w:val="none"/>
                    </w:rPr>
                    <w:t>N5日兴花园106栋</w:t>
                  </w:r>
                </w:p>
              </w:tc>
              <w:tc>
                <w:tcPr>
                  <w:tcW w:w="2034" w:type="dxa"/>
                  <w:vMerge w:val="restart"/>
                  <w:vAlign w:val="center"/>
                </w:tcPr>
                <w:p>
                  <w:pPr>
                    <w:widowControl/>
                    <w:jc w:val="center"/>
                    <w:textAlignment w:val="center"/>
                    <w:rPr>
                      <w:color w:val="auto"/>
                      <w:szCs w:val="21"/>
                      <w:highlight w:val="none"/>
                    </w:rPr>
                  </w:pPr>
                  <w:r>
                    <w:rPr>
                      <w:color w:val="auto"/>
                      <w:sz w:val="20"/>
                      <w:szCs w:val="20"/>
                      <w:highlight w:val="none"/>
                    </w:rPr>
                    <w:t>202</w:t>
                  </w:r>
                  <w:r>
                    <w:rPr>
                      <w:rFonts w:hint="eastAsia"/>
                      <w:color w:val="auto"/>
                      <w:sz w:val="20"/>
                      <w:szCs w:val="20"/>
                      <w:highlight w:val="none"/>
                    </w:rPr>
                    <w:t>4</w:t>
                  </w:r>
                  <w:r>
                    <w:rPr>
                      <w:color w:val="auto"/>
                      <w:sz w:val="20"/>
                      <w:szCs w:val="20"/>
                      <w:highlight w:val="none"/>
                    </w:rPr>
                    <w:t>年</w:t>
                  </w:r>
                  <w:r>
                    <w:rPr>
                      <w:rFonts w:hint="eastAsia"/>
                      <w:color w:val="auto"/>
                      <w:sz w:val="20"/>
                      <w:szCs w:val="20"/>
                      <w:highlight w:val="none"/>
                    </w:rPr>
                    <w:t>4</w:t>
                  </w:r>
                  <w:r>
                    <w:rPr>
                      <w:color w:val="auto"/>
                      <w:sz w:val="20"/>
                      <w:szCs w:val="20"/>
                      <w:highlight w:val="none"/>
                    </w:rPr>
                    <w:t>月</w:t>
                  </w:r>
                  <w:r>
                    <w:rPr>
                      <w:rFonts w:hint="eastAsia"/>
                      <w:color w:val="auto"/>
                      <w:sz w:val="20"/>
                      <w:szCs w:val="20"/>
                      <w:highlight w:val="none"/>
                    </w:rPr>
                    <w:t>1</w:t>
                  </w:r>
                  <w:r>
                    <w:rPr>
                      <w:color w:val="auto"/>
                      <w:sz w:val="20"/>
                      <w:szCs w:val="20"/>
                      <w:highlight w:val="none"/>
                    </w:rPr>
                    <w:t>日</w:t>
                  </w:r>
                </w:p>
              </w:tc>
              <w:tc>
                <w:tcPr>
                  <w:tcW w:w="877" w:type="pct"/>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昼间</w:t>
                  </w:r>
                </w:p>
              </w:tc>
              <w:tc>
                <w:tcPr>
                  <w:tcW w:w="832" w:type="dxa"/>
                  <w:vAlign w:val="center"/>
                </w:tcPr>
                <w:p>
                  <w:pPr>
                    <w:widowControl/>
                    <w:jc w:val="center"/>
                    <w:textAlignment w:val="center"/>
                    <w:rPr>
                      <w:color w:val="auto"/>
                      <w:kern w:val="0"/>
                      <w:szCs w:val="21"/>
                      <w:highlight w:val="none"/>
                    </w:rPr>
                  </w:pPr>
                  <w:r>
                    <w:rPr>
                      <w:color w:val="auto"/>
                      <w:kern w:val="0"/>
                      <w:szCs w:val="21"/>
                      <w:highlight w:val="none"/>
                    </w:rPr>
                    <w:t>58.7</w:t>
                  </w:r>
                </w:p>
              </w:tc>
              <w:tc>
                <w:tcPr>
                  <w:tcW w:w="818" w:type="dxa"/>
                  <w:vAlign w:val="center"/>
                </w:tcPr>
                <w:p>
                  <w:pPr>
                    <w:widowControl/>
                    <w:jc w:val="center"/>
                    <w:textAlignment w:val="center"/>
                    <w:rPr>
                      <w:color w:val="auto"/>
                      <w:szCs w:val="21"/>
                      <w:highlight w:val="none"/>
                    </w:rPr>
                  </w:pPr>
                  <w:r>
                    <w:rPr>
                      <w:color w:val="auto"/>
                      <w:kern w:val="0"/>
                      <w:szCs w:val="21"/>
                      <w:highlight w:val="none"/>
                    </w:rPr>
                    <w:t>70</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kern w:val="0"/>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1288" w:type="pct"/>
                  <w:vMerge w:val="continue"/>
                  <w:vAlign w:val="center"/>
                </w:tcPr>
                <w:p>
                  <w:pPr>
                    <w:jc w:val="center"/>
                    <w:rPr>
                      <w:color w:val="auto"/>
                      <w:szCs w:val="21"/>
                      <w:highlight w:val="none"/>
                    </w:rPr>
                  </w:pPr>
                </w:p>
              </w:tc>
              <w:tc>
                <w:tcPr>
                  <w:tcW w:w="877" w:type="pct"/>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夜间</w:t>
                  </w:r>
                </w:p>
              </w:tc>
              <w:tc>
                <w:tcPr>
                  <w:tcW w:w="832" w:type="dxa"/>
                  <w:vAlign w:val="center"/>
                </w:tcPr>
                <w:p>
                  <w:pPr>
                    <w:widowControl/>
                    <w:jc w:val="center"/>
                    <w:textAlignment w:val="center"/>
                    <w:rPr>
                      <w:color w:val="auto"/>
                      <w:kern w:val="0"/>
                      <w:szCs w:val="21"/>
                      <w:highlight w:val="none"/>
                    </w:rPr>
                  </w:pPr>
                  <w:r>
                    <w:rPr>
                      <w:color w:val="auto"/>
                      <w:kern w:val="0"/>
                      <w:szCs w:val="21"/>
                      <w:highlight w:val="none"/>
                    </w:rPr>
                    <w:t>49.6</w:t>
                  </w:r>
                </w:p>
              </w:tc>
              <w:tc>
                <w:tcPr>
                  <w:tcW w:w="818" w:type="dxa"/>
                  <w:vAlign w:val="center"/>
                </w:tcPr>
                <w:p>
                  <w:pPr>
                    <w:widowControl/>
                    <w:jc w:val="center"/>
                    <w:textAlignment w:val="center"/>
                    <w:rPr>
                      <w:color w:val="auto"/>
                      <w:szCs w:val="21"/>
                      <w:highlight w:val="none"/>
                    </w:rPr>
                  </w:pPr>
                  <w:r>
                    <w:rPr>
                      <w:color w:val="auto"/>
                      <w:kern w:val="0"/>
                      <w:szCs w:val="21"/>
                      <w:highlight w:val="none"/>
                    </w:rPr>
                    <w:t>55</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kern w:val="0"/>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2034" w:type="dxa"/>
                  <w:vMerge w:val="restart"/>
                  <w:vAlign w:val="center"/>
                </w:tcPr>
                <w:p>
                  <w:pPr>
                    <w:widowControl/>
                    <w:jc w:val="center"/>
                    <w:textAlignment w:val="center"/>
                    <w:rPr>
                      <w:color w:val="auto"/>
                      <w:szCs w:val="21"/>
                      <w:highlight w:val="none"/>
                    </w:rPr>
                  </w:pPr>
                  <w:r>
                    <w:rPr>
                      <w:color w:val="auto"/>
                      <w:sz w:val="20"/>
                      <w:szCs w:val="20"/>
                      <w:highlight w:val="none"/>
                    </w:rPr>
                    <w:t>202</w:t>
                  </w:r>
                  <w:r>
                    <w:rPr>
                      <w:rFonts w:hint="eastAsia"/>
                      <w:color w:val="auto"/>
                      <w:sz w:val="20"/>
                      <w:szCs w:val="20"/>
                      <w:highlight w:val="none"/>
                    </w:rPr>
                    <w:t>4</w:t>
                  </w:r>
                  <w:r>
                    <w:rPr>
                      <w:color w:val="auto"/>
                      <w:sz w:val="20"/>
                      <w:szCs w:val="20"/>
                      <w:highlight w:val="none"/>
                    </w:rPr>
                    <w:t>年</w:t>
                  </w:r>
                  <w:r>
                    <w:rPr>
                      <w:rFonts w:hint="eastAsia"/>
                      <w:color w:val="auto"/>
                      <w:sz w:val="20"/>
                      <w:szCs w:val="20"/>
                      <w:highlight w:val="none"/>
                    </w:rPr>
                    <w:t>4</w:t>
                  </w:r>
                  <w:r>
                    <w:rPr>
                      <w:color w:val="auto"/>
                      <w:sz w:val="20"/>
                      <w:szCs w:val="20"/>
                      <w:highlight w:val="none"/>
                    </w:rPr>
                    <w:t>月</w:t>
                  </w:r>
                  <w:r>
                    <w:rPr>
                      <w:rFonts w:hint="eastAsia"/>
                      <w:color w:val="auto"/>
                      <w:sz w:val="20"/>
                      <w:szCs w:val="20"/>
                      <w:highlight w:val="none"/>
                    </w:rPr>
                    <w:t>2</w:t>
                  </w:r>
                  <w:r>
                    <w:rPr>
                      <w:color w:val="auto"/>
                      <w:sz w:val="20"/>
                      <w:szCs w:val="20"/>
                      <w:highlight w:val="none"/>
                    </w:rPr>
                    <w:t>日</w:t>
                  </w:r>
                </w:p>
              </w:tc>
              <w:tc>
                <w:tcPr>
                  <w:tcW w:w="877" w:type="pct"/>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昼间</w:t>
                  </w:r>
                </w:p>
              </w:tc>
              <w:tc>
                <w:tcPr>
                  <w:tcW w:w="832" w:type="dxa"/>
                  <w:vAlign w:val="center"/>
                </w:tcPr>
                <w:p>
                  <w:pPr>
                    <w:widowControl/>
                    <w:jc w:val="center"/>
                    <w:textAlignment w:val="center"/>
                    <w:rPr>
                      <w:color w:val="auto"/>
                      <w:kern w:val="0"/>
                      <w:szCs w:val="21"/>
                      <w:highlight w:val="none"/>
                    </w:rPr>
                  </w:pPr>
                  <w:r>
                    <w:rPr>
                      <w:color w:val="auto"/>
                      <w:kern w:val="0"/>
                      <w:szCs w:val="21"/>
                      <w:highlight w:val="none"/>
                    </w:rPr>
                    <w:t>59.4</w:t>
                  </w:r>
                </w:p>
              </w:tc>
              <w:tc>
                <w:tcPr>
                  <w:tcW w:w="818" w:type="dxa"/>
                  <w:vAlign w:val="center"/>
                </w:tcPr>
                <w:p>
                  <w:pPr>
                    <w:widowControl/>
                    <w:jc w:val="center"/>
                    <w:textAlignment w:val="center"/>
                    <w:rPr>
                      <w:color w:val="auto"/>
                      <w:szCs w:val="21"/>
                      <w:highlight w:val="none"/>
                    </w:rPr>
                  </w:pPr>
                  <w:r>
                    <w:rPr>
                      <w:color w:val="auto"/>
                      <w:kern w:val="0"/>
                      <w:szCs w:val="21"/>
                      <w:highlight w:val="none"/>
                    </w:rPr>
                    <w:t>70</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kern w:val="0"/>
                      <w:szCs w:val="21"/>
                      <w:highlight w:val="none"/>
                    </w:rPr>
                  </w:pPr>
                  <w:r>
                    <w:rPr>
                      <w:rFonts w:hint="eastAsia"/>
                      <w:color w:val="auto"/>
                      <w:kern w:val="0"/>
                      <w:szCs w:val="21"/>
                      <w:highlight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1" w:type="pct"/>
                  <w:vMerge w:val="continue"/>
                  <w:vAlign w:val="center"/>
                </w:tcPr>
                <w:p>
                  <w:pPr>
                    <w:jc w:val="center"/>
                    <w:rPr>
                      <w:color w:val="auto"/>
                      <w:szCs w:val="21"/>
                      <w:highlight w:val="none"/>
                    </w:rPr>
                  </w:pPr>
                </w:p>
              </w:tc>
              <w:tc>
                <w:tcPr>
                  <w:tcW w:w="1288" w:type="pct"/>
                  <w:vMerge w:val="continue"/>
                  <w:vAlign w:val="center"/>
                </w:tcPr>
                <w:p>
                  <w:pPr>
                    <w:jc w:val="center"/>
                    <w:rPr>
                      <w:color w:val="auto"/>
                      <w:szCs w:val="21"/>
                      <w:highlight w:val="none"/>
                    </w:rPr>
                  </w:pPr>
                </w:p>
              </w:tc>
              <w:tc>
                <w:tcPr>
                  <w:tcW w:w="877" w:type="pct"/>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夜间</w:t>
                  </w:r>
                </w:p>
              </w:tc>
              <w:tc>
                <w:tcPr>
                  <w:tcW w:w="832" w:type="dxa"/>
                  <w:vAlign w:val="center"/>
                </w:tcPr>
                <w:p>
                  <w:pPr>
                    <w:widowControl/>
                    <w:jc w:val="center"/>
                    <w:textAlignment w:val="center"/>
                    <w:rPr>
                      <w:color w:val="auto"/>
                      <w:kern w:val="0"/>
                      <w:szCs w:val="21"/>
                      <w:highlight w:val="none"/>
                    </w:rPr>
                  </w:pPr>
                  <w:r>
                    <w:rPr>
                      <w:color w:val="auto"/>
                      <w:kern w:val="0"/>
                      <w:szCs w:val="21"/>
                      <w:highlight w:val="none"/>
                    </w:rPr>
                    <w:t>51.3</w:t>
                  </w:r>
                </w:p>
              </w:tc>
              <w:tc>
                <w:tcPr>
                  <w:tcW w:w="818" w:type="dxa"/>
                  <w:vAlign w:val="center"/>
                </w:tcPr>
                <w:p>
                  <w:pPr>
                    <w:widowControl/>
                    <w:jc w:val="center"/>
                    <w:textAlignment w:val="center"/>
                    <w:rPr>
                      <w:color w:val="auto"/>
                      <w:szCs w:val="21"/>
                      <w:highlight w:val="none"/>
                    </w:rPr>
                  </w:pPr>
                  <w:r>
                    <w:rPr>
                      <w:color w:val="auto"/>
                      <w:kern w:val="0"/>
                      <w:szCs w:val="21"/>
                      <w:highlight w:val="none"/>
                    </w:rPr>
                    <w:t>55</w:t>
                  </w:r>
                </w:p>
              </w:tc>
              <w:tc>
                <w:tcPr>
                  <w:tcW w:w="568" w:type="pct"/>
                  <w:vAlign w:val="center"/>
                </w:tcPr>
                <w:p>
                  <w:pPr>
                    <w:jc w:val="center"/>
                    <w:rPr>
                      <w:color w:val="auto"/>
                      <w:szCs w:val="21"/>
                      <w:highlight w:val="none"/>
                    </w:rPr>
                  </w:pPr>
                  <w:r>
                    <w:rPr>
                      <w:rFonts w:hint="eastAsia"/>
                      <w:color w:val="auto"/>
                      <w:szCs w:val="21"/>
                      <w:highlight w:val="none"/>
                    </w:rPr>
                    <w:t>达标</w:t>
                  </w:r>
                </w:p>
              </w:tc>
              <w:tc>
                <w:tcPr>
                  <w:tcW w:w="409" w:type="pct"/>
                  <w:vAlign w:val="center"/>
                </w:tcPr>
                <w:p>
                  <w:pPr>
                    <w:widowControl/>
                    <w:jc w:val="center"/>
                    <w:textAlignment w:val="center"/>
                    <w:rPr>
                      <w:color w:val="auto"/>
                      <w:kern w:val="0"/>
                      <w:szCs w:val="21"/>
                      <w:highlight w:val="none"/>
                    </w:rPr>
                  </w:pPr>
                  <w:r>
                    <w:rPr>
                      <w:rFonts w:hint="eastAsia"/>
                      <w:color w:val="auto"/>
                      <w:kern w:val="0"/>
                      <w:szCs w:val="21"/>
                      <w:highlight w:val="none"/>
                    </w:rPr>
                    <w:t>0</w:t>
                  </w:r>
                </w:p>
              </w:tc>
            </w:tr>
          </w:tbl>
          <w:p>
            <w:pPr>
              <w:spacing w:line="360" w:lineRule="auto"/>
              <w:ind w:firstLine="480" w:firstLineChars="200"/>
              <w:rPr>
                <w:bCs/>
                <w:color w:val="auto"/>
                <w:sz w:val="24"/>
                <w:highlight w:val="none"/>
              </w:rPr>
            </w:pPr>
            <w:r>
              <w:rPr>
                <w:rFonts w:hint="eastAsia"/>
                <w:bCs/>
                <w:color w:val="auto"/>
                <w:sz w:val="24"/>
                <w:highlight w:val="none"/>
              </w:rPr>
              <w:t>从监测结果来看，项目所在地声环境质量现状噪声均达到《声环境质量标准》（GB3096-2008）4a类标准。</w:t>
            </w:r>
          </w:p>
          <w:p>
            <w:pPr>
              <w:pStyle w:val="24"/>
              <w:kinsoku w:val="0"/>
              <w:overflowPunct w:val="0"/>
              <w:spacing w:line="360" w:lineRule="auto"/>
              <w:ind w:firstLine="482" w:firstLineChars="200"/>
              <w:jc w:val="both"/>
              <w:rPr>
                <w:b/>
                <w:bCs/>
                <w:color w:val="auto"/>
                <w:highlight w:val="none"/>
              </w:rPr>
            </w:pPr>
            <w:r>
              <w:rPr>
                <w:rFonts w:hint="eastAsia"/>
                <w:b/>
                <w:bCs/>
                <w:color w:val="auto"/>
                <w:highlight w:val="none"/>
              </w:rPr>
              <w:t>4、地下水环境质量现状</w:t>
            </w:r>
          </w:p>
          <w:p>
            <w:pPr>
              <w:adjustRightInd w:val="0"/>
              <w:snapToGrid w:val="0"/>
              <w:spacing w:line="360" w:lineRule="auto"/>
              <w:ind w:firstLine="480" w:firstLineChars="200"/>
              <w:rPr>
                <w:color w:val="auto"/>
                <w:sz w:val="24"/>
                <w:highlight w:val="none"/>
              </w:rPr>
            </w:pPr>
            <w:r>
              <w:rPr>
                <w:rFonts w:hint="eastAsia"/>
                <w:color w:val="auto"/>
                <w:sz w:val="24"/>
                <w:highlight w:val="none"/>
              </w:rPr>
              <w:t>根据《环境影响评价技术导则地下水环境》（HJ610-2016）附录A“地下水环境影响评价行业分类表”，本项目属于138、城市道路报告表，为</w:t>
            </w:r>
            <w:r>
              <w:rPr>
                <w:color w:val="auto"/>
                <w:sz w:val="24"/>
                <w:highlight w:val="none"/>
              </w:rPr>
              <w:t>Ⅳ</w:t>
            </w:r>
            <w:r>
              <w:rPr>
                <w:rFonts w:hint="eastAsia"/>
                <w:color w:val="auto"/>
                <w:sz w:val="24"/>
                <w:highlight w:val="none"/>
              </w:rPr>
              <w:t>类建设项目，无需开展地下水环境影响评价。</w:t>
            </w:r>
          </w:p>
          <w:p>
            <w:pPr>
              <w:pStyle w:val="24"/>
              <w:kinsoku w:val="0"/>
              <w:overflowPunct w:val="0"/>
              <w:spacing w:line="360" w:lineRule="auto"/>
              <w:ind w:firstLine="482" w:firstLineChars="200"/>
              <w:jc w:val="both"/>
              <w:rPr>
                <w:b/>
                <w:bCs/>
                <w:color w:val="auto"/>
                <w:kern w:val="2"/>
                <w:highlight w:val="none"/>
              </w:rPr>
            </w:pPr>
            <w:r>
              <w:rPr>
                <w:rFonts w:hint="eastAsia"/>
                <w:b/>
                <w:bCs/>
                <w:color w:val="auto"/>
                <w:kern w:val="2"/>
                <w:highlight w:val="none"/>
              </w:rPr>
              <w:t>5、土壤环境质量现状</w:t>
            </w:r>
          </w:p>
          <w:p>
            <w:pPr>
              <w:spacing w:line="360" w:lineRule="auto"/>
              <w:ind w:firstLine="480" w:firstLineChars="200"/>
              <w:rPr>
                <w:rFonts w:hint="default"/>
                <w:bCs/>
                <w:color w:val="auto"/>
                <w:sz w:val="24"/>
                <w:highlight w:val="none"/>
                <w:lang w:val="en-US" w:eastAsia="zh-CN"/>
              </w:rPr>
            </w:pPr>
            <w:r>
              <w:rPr>
                <w:rFonts w:hint="eastAsia"/>
                <w:bCs/>
                <w:color w:val="auto"/>
                <w:sz w:val="24"/>
                <w:highlight w:val="none"/>
              </w:rPr>
              <w:t>根据《2023年园区生态环境质量公报》，</w:t>
            </w:r>
            <w:r>
              <w:rPr>
                <w:rFonts w:hint="eastAsia"/>
                <w:bCs/>
                <w:color w:val="auto"/>
                <w:sz w:val="24"/>
                <w:highlight w:val="none"/>
                <w:lang w:val="en-US" w:eastAsia="zh-CN"/>
              </w:rPr>
              <w:t>9个一类建设用地土壤监测点位监测结果全部优于《土壤环境质量建设用地污染风险管控标准》（GB36600-2018）风险筛选值；1个农用地土壤监测点位监测结果优于《土壤环境质量农用地污染风险管控标准》（GB15618-2018）风险筛选值。均属低污染风险点位，土壤环境总体较好。</w:t>
            </w:r>
          </w:p>
          <w:p>
            <w:pPr>
              <w:spacing w:line="360" w:lineRule="auto"/>
              <w:ind w:firstLine="480" w:firstLineChars="200"/>
              <w:rPr>
                <w:rFonts w:hint="default"/>
                <w:bCs/>
                <w:color w:val="auto"/>
                <w:sz w:val="24"/>
                <w:highlight w:val="none"/>
                <w:lang w:val="en-US" w:eastAsia="zh-CN"/>
              </w:rPr>
            </w:pPr>
            <w:r>
              <w:rPr>
                <w:rFonts w:hint="eastAsia"/>
                <w:bCs/>
                <w:color w:val="auto"/>
                <w:sz w:val="24"/>
                <w:highlight w:val="none"/>
                <w:lang w:val="en-US" w:eastAsia="zh-CN"/>
              </w:rPr>
              <w:t>与2022年相比，土壤环境质量整体保持稳定，各监测因子均处于较低浓度水平。</w:t>
            </w:r>
          </w:p>
          <w:p>
            <w:pPr>
              <w:pStyle w:val="24"/>
              <w:kinsoku w:val="0"/>
              <w:overflowPunct w:val="0"/>
              <w:spacing w:line="360" w:lineRule="auto"/>
              <w:ind w:firstLine="482" w:firstLineChars="200"/>
              <w:jc w:val="both"/>
              <w:rPr>
                <w:b/>
                <w:bCs/>
                <w:color w:val="auto"/>
                <w:highlight w:val="none"/>
              </w:rPr>
            </w:pPr>
            <w:r>
              <w:rPr>
                <w:rFonts w:hint="eastAsia"/>
                <w:b/>
                <w:bCs/>
                <w:color w:val="auto"/>
                <w:highlight w:val="none"/>
              </w:rPr>
              <w:t>6</w:t>
            </w:r>
            <w:r>
              <w:rPr>
                <w:b/>
                <w:bCs/>
                <w:color w:val="auto"/>
                <w:highlight w:val="none"/>
              </w:rPr>
              <w:t>、生态环境现状</w:t>
            </w:r>
          </w:p>
          <w:p>
            <w:pPr>
              <w:autoSpaceDE w:val="0"/>
              <w:autoSpaceDN w:val="0"/>
              <w:adjustRightInd w:val="0"/>
              <w:snapToGrid w:val="0"/>
              <w:spacing w:line="360" w:lineRule="auto"/>
              <w:ind w:firstLine="480" w:firstLineChars="200"/>
              <w:rPr>
                <w:color w:val="auto"/>
                <w:sz w:val="24"/>
                <w:highlight w:val="none"/>
              </w:rPr>
            </w:pPr>
            <w:r>
              <w:rPr>
                <w:color w:val="auto"/>
                <w:sz w:val="24"/>
                <w:highlight w:val="none"/>
              </w:rPr>
              <w:t>本项目地块位于苏州工业园区，</w:t>
            </w:r>
            <w:r>
              <w:rPr>
                <w:rFonts w:hint="eastAsia"/>
                <w:color w:val="auto"/>
                <w:sz w:val="24"/>
                <w:highlight w:val="none"/>
              </w:rPr>
              <w:t>本次扬东路西延工程为新建项目，扬东路工程东</w:t>
            </w:r>
            <w:r>
              <w:rPr>
                <w:rFonts w:hint="eastAsia"/>
                <w:color w:val="auto"/>
                <w:sz w:val="24"/>
                <w:highlight w:val="none"/>
                <w:lang w:val="en-US" w:eastAsia="zh-CN"/>
              </w:rPr>
              <w:t>起</w:t>
            </w:r>
            <w:r>
              <w:rPr>
                <w:rFonts w:hint="eastAsia"/>
                <w:color w:val="auto"/>
                <w:sz w:val="24"/>
                <w:highlight w:val="none"/>
              </w:rPr>
              <w:t>扬帆路，向东下穿苏嘉杭高速高架桥，西</w:t>
            </w:r>
            <w:r>
              <w:rPr>
                <w:rFonts w:hint="eastAsia"/>
                <w:color w:val="auto"/>
                <w:sz w:val="24"/>
                <w:highlight w:val="none"/>
                <w:lang w:val="en-US" w:eastAsia="zh-CN"/>
              </w:rPr>
              <w:t>至</w:t>
            </w:r>
            <w:r>
              <w:rPr>
                <w:rFonts w:hint="eastAsia"/>
                <w:color w:val="auto"/>
                <w:sz w:val="24"/>
                <w:highlight w:val="none"/>
              </w:rPr>
              <w:t>园区界外塘河，路线全长约 0.35km，</w:t>
            </w:r>
            <w:r>
              <w:rPr>
                <w:color w:val="auto"/>
                <w:sz w:val="24"/>
                <w:highlight w:val="none"/>
              </w:rPr>
              <w:t>距离最近的</w:t>
            </w:r>
            <w:r>
              <w:rPr>
                <w:rFonts w:hint="eastAsia"/>
                <w:color w:val="auto"/>
                <w:sz w:val="24"/>
                <w:highlight w:val="none"/>
              </w:rPr>
              <w:t>国家级生态保护红线</w:t>
            </w:r>
            <w:r>
              <w:rPr>
                <w:color w:val="auto"/>
                <w:sz w:val="24"/>
                <w:highlight w:val="none"/>
              </w:rPr>
              <w:t>阳澄湖</w:t>
            </w:r>
            <w:r>
              <w:rPr>
                <w:rFonts w:hint="eastAsia"/>
                <w:color w:val="auto"/>
                <w:sz w:val="24"/>
                <w:highlight w:val="none"/>
              </w:rPr>
              <w:t>(</w:t>
            </w:r>
            <w:r>
              <w:rPr>
                <w:color w:val="auto"/>
                <w:sz w:val="24"/>
                <w:highlight w:val="none"/>
              </w:rPr>
              <w:t>苏州工业园区</w:t>
            </w:r>
            <w:r>
              <w:rPr>
                <w:rFonts w:hint="eastAsia"/>
                <w:color w:val="auto"/>
                <w:sz w:val="24"/>
                <w:highlight w:val="none"/>
              </w:rPr>
              <w:t>)</w:t>
            </w:r>
            <w:r>
              <w:rPr>
                <w:color w:val="auto"/>
                <w:sz w:val="24"/>
                <w:highlight w:val="none"/>
              </w:rPr>
              <w:t>饮用水水源准保护区约</w:t>
            </w:r>
            <w:r>
              <w:rPr>
                <w:rFonts w:hint="eastAsia"/>
                <w:color w:val="auto"/>
                <w:sz w:val="24"/>
                <w:highlight w:val="none"/>
              </w:rPr>
              <w:t>12.5km，</w:t>
            </w:r>
            <w:r>
              <w:rPr>
                <w:color w:val="auto"/>
                <w:sz w:val="24"/>
                <w:highlight w:val="none"/>
              </w:rPr>
              <w:t>不在《江苏省国家级生态保护红线规划》划定的生态保护红线内。</w:t>
            </w:r>
          </w:p>
          <w:p>
            <w:pPr>
              <w:autoSpaceDE w:val="0"/>
              <w:autoSpaceDN w:val="0"/>
              <w:adjustRightInd w:val="0"/>
              <w:snapToGrid w:val="0"/>
              <w:spacing w:line="360" w:lineRule="auto"/>
              <w:ind w:firstLine="480" w:firstLineChars="200"/>
              <w:rPr>
                <w:color w:val="auto"/>
                <w:sz w:val="24"/>
                <w:highlight w:val="none"/>
              </w:rPr>
            </w:pPr>
            <w:r>
              <w:rPr>
                <w:color w:val="auto"/>
                <w:sz w:val="24"/>
                <w:highlight w:val="none"/>
              </w:rPr>
              <w:t>经查询《省政府关于印发江苏省生态空间管控区域规划的通知》（苏政发[2020]1号，距离项目边界最近的生态</w:t>
            </w:r>
            <w:r>
              <w:rPr>
                <w:rFonts w:hint="eastAsia"/>
                <w:color w:val="auto"/>
                <w:sz w:val="24"/>
                <w:highlight w:val="none"/>
              </w:rPr>
              <w:t>管控</w:t>
            </w:r>
            <w:r>
              <w:rPr>
                <w:color w:val="auto"/>
                <w:sz w:val="24"/>
                <w:highlight w:val="none"/>
              </w:rPr>
              <w:t>区域为</w:t>
            </w:r>
            <w:r>
              <w:rPr>
                <w:rFonts w:hint="eastAsia"/>
                <w:color w:val="auto"/>
                <w:sz w:val="24"/>
                <w:highlight w:val="none"/>
              </w:rPr>
              <w:t>北侧的阳澄湖（工业园区）重要湿地，距离约350米，</w:t>
            </w:r>
            <w:r>
              <w:rPr>
                <w:color w:val="auto"/>
                <w:sz w:val="24"/>
                <w:highlight w:val="none"/>
              </w:rPr>
              <w:t>项目所在地不在</w:t>
            </w:r>
            <w:r>
              <w:rPr>
                <w:rFonts w:hint="eastAsia"/>
                <w:color w:val="auto"/>
                <w:sz w:val="24"/>
                <w:highlight w:val="none"/>
              </w:rPr>
              <w:t>阳澄湖（工业园区）重要湿地</w:t>
            </w:r>
            <w:r>
              <w:rPr>
                <w:color w:val="auto"/>
                <w:sz w:val="24"/>
                <w:highlight w:val="none"/>
              </w:rPr>
              <w:t>管控区范围内，符合《江苏省生态空间管控区域规划》相关要求。</w:t>
            </w:r>
          </w:p>
          <w:p>
            <w:pPr>
              <w:spacing w:line="360" w:lineRule="auto"/>
              <w:ind w:firstLine="480" w:firstLineChars="200"/>
              <w:rPr>
                <w:bCs/>
                <w:color w:val="auto"/>
                <w:sz w:val="24"/>
                <w:highlight w:val="none"/>
              </w:rPr>
            </w:pPr>
            <w:r>
              <w:rPr>
                <w:rFonts w:hint="eastAsia"/>
                <w:bCs/>
                <w:color w:val="auto"/>
                <w:sz w:val="24"/>
                <w:highlight w:val="none"/>
              </w:rPr>
              <w:t>根据项目选址意见书，工程用地总面积：1.2236公顷，其中建设用地1.0761公顷、农用地0.0822公顷、未利用地0.0653公顷。项目地及周边建设用地现状主要为</w:t>
            </w:r>
            <w:r>
              <w:rPr>
                <w:rFonts w:hint="eastAsia"/>
                <w:color w:val="auto"/>
                <w:sz w:val="24"/>
                <w:highlight w:val="none"/>
              </w:rPr>
              <w:t>文体设施用地和公园绿地</w:t>
            </w:r>
            <w:r>
              <w:rPr>
                <w:rFonts w:hint="eastAsia"/>
                <w:bCs/>
                <w:color w:val="auto"/>
                <w:sz w:val="24"/>
                <w:highlight w:val="none"/>
              </w:rPr>
              <w:t xml:space="preserve">，无遗留环境问题。建设单位应根据“占补平衡”原则，对农用地提出相应异地补偿方案，建设单位目前按照土地使用流程正在进行农用地转用申请，并承诺施工前办理完成该手续（承诺见附件6）。 </w:t>
            </w:r>
          </w:p>
          <w:p>
            <w:pPr>
              <w:autoSpaceDE w:val="0"/>
              <w:autoSpaceDN w:val="0"/>
              <w:adjustRightInd w:val="0"/>
              <w:snapToGrid w:val="0"/>
              <w:spacing w:line="360" w:lineRule="auto"/>
              <w:ind w:firstLine="480" w:firstLineChars="200"/>
              <w:rPr>
                <w:bCs/>
                <w:color w:val="auto"/>
                <w:sz w:val="24"/>
                <w:highlight w:val="none"/>
              </w:rPr>
            </w:pPr>
          </w:p>
          <w:p>
            <w:pPr>
              <w:pStyle w:val="16"/>
              <w:rPr>
                <w:color w:val="auto"/>
                <w:sz w:val="24"/>
                <w:highlight w:val="none"/>
              </w:rPr>
            </w:pPr>
          </w:p>
          <w:p>
            <w:pPr>
              <w:pStyle w:val="16"/>
              <w:rPr>
                <w:color w:val="auto"/>
                <w:sz w:val="24"/>
                <w:highlight w:val="none"/>
              </w:rPr>
            </w:pPr>
          </w:p>
          <w:p>
            <w:pPr>
              <w:rPr>
                <w:bCs/>
                <w:color w:val="auto"/>
                <w:sz w:val="24"/>
                <w:highlight w:val="none"/>
              </w:rPr>
            </w:pPr>
          </w:p>
          <w:p>
            <w:pPr>
              <w:pStyle w:val="16"/>
              <w:rPr>
                <w:color w:val="auto"/>
                <w:sz w:val="24"/>
                <w:highlight w:val="none"/>
              </w:rPr>
            </w:pPr>
          </w:p>
          <w:p>
            <w:pPr>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68" w:hRule="atLeast"/>
          <w:jc w:val="center"/>
        </w:trPr>
        <w:tc>
          <w:tcPr>
            <w:tcW w:w="911" w:type="dxa"/>
            <w:vAlign w:val="center"/>
          </w:tcPr>
          <w:p>
            <w:pPr>
              <w:adjustRightInd w:val="0"/>
              <w:snapToGrid w:val="0"/>
              <w:jc w:val="center"/>
              <w:rPr>
                <w:color w:val="auto"/>
                <w:kern w:val="0"/>
                <w:sz w:val="24"/>
                <w:highlight w:val="none"/>
              </w:rPr>
            </w:pPr>
            <w:r>
              <w:rPr>
                <w:bCs/>
                <w:color w:val="auto"/>
                <w:szCs w:val="21"/>
                <w:highlight w:val="none"/>
              </w:rPr>
              <w:t>与项目有关的原有环境污染和生态破坏问题</w:t>
            </w:r>
          </w:p>
        </w:tc>
        <w:tc>
          <w:tcPr>
            <w:tcW w:w="8079" w:type="dxa"/>
            <w:vAlign w:val="center"/>
          </w:tcPr>
          <w:p>
            <w:pPr>
              <w:pStyle w:val="4"/>
              <w:ind w:firstLine="480"/>
              <w:rPr>
                <w:color w:val="auto"/>
                <w:sz w:val="24"/>
                <w:szCs w:val="24"/>
                <w:highlight w:val="none"/>
              </w:rPr>
            </w:pPr>
            <w:r>
              <w:rPr>
                <w:color w:val="auto"/>
                <w:sz w:val="24"/>
                <w:szCs w:val="24"/>
                <w:highlight w:val="none"/>
              </w:rPr>
              <w:t>本项目为道路</w:t>
            </w:r>
            <w:r>
              <w:rPr>
                <w:rFonts w:hint="eastAsia"/>
                <w:color w:val="auto"/>
                <w:sz w:val="24"/>
                <w:szCs w:val="24"/>
                <w:highlight w:val="none"/>
              </w:rPr>
              <w:t>新建</w:t>
            </w:r>
            <w:r>
              <w:rPr>
                <w:color w:val="auto"/>
                <w:sz w:val="24"/>
                <w:szCs w:val="24"/>
                <w:highlight w:val="none"/>
              </w:rPr>
              <w:t>项目，现状道路污染为</w:t>
            </w:r>
            <w:r>
              <w:rPr>
                <w:rFonts w:hint="eastAsia"/>
                <w:color w:val="auto"/>
                <w:sz w:val="24"/>
                <w:szCs w:val="24"/>
                <w:highlight w:val="none"/>
              </w:rPr>
              <w:t>本项目与杨帆路交叉道路</w:t>
            </w:r>
            <w:r>
              <w:rPr>
                <w:color w:val="auto"/>
                <w:sz w:val="24"/>
                <w:szCs w:val="24"/>
                <w:highlight w:val="none"/>
              </w:rPr>
              <w:t>的交通噪声、汽车尾气等。</w:t>
            </w:r>
            <w:r>
              <w:rPr>
                <w:rFonts w:hint="eastAsia"/>
                <w:color w:val="auto"/>
                <w:sz w:val="24"/>
                <w:szCs w:val="24"/>
                <w:highlight w:val="none"/>
                <w:lang w:val="en-US" w:eastAsia="zh-CN"/>
              </w:rPr>
              <w:t>工程范围内</w:t>
            </w:r>
            <w:r>
              <w:rPr>
                <w:rFonts w:hint="eastAsia"/>
                <w:color w:val="auto"/>
                <w:sz w:val="24"/>
                <w:szCs w:val="24"/>
                <w:highlight w:val="none"/>
              </w:rPr>
              <w:t>地块已拆除完毕，目前为荒地</w:t>
            </w:r>
            <w:r>
              <w:rPr>
                <w:rFonts w:hint="eastAsia"/>
                <w:color w:val="auto"/>
                <w:sz w:val="24"/>
                <w:szCs w:val="24"/>
                <w:highlight w:val="none"/>
                <w:lang w:val="en-US" w:eastAsia="zh-CN"/>
              </w:rPr>
              <w:t>及绿化</w:t>
            </w:r>
            <w:r>
              <w:rPr>
                <w:rFonts w:hint="eastAsia"/>
                <w:color w:val="auto"/>
                <w:sz w:val="24"/>
                <w:szCs w:val="24"/>
                <w:highlight w:val="none"/>
              </w:rPr>
              <w:t>，项目的实施已具备场地条件。</w:t>
            </w:r>
          </w:p>
          <w:p>
            <w:pPr>
              <w:pStyle w:val="4"/>
              <w:ind w:firstLine="480"/>
              <w:rPr>
                <w:color w:val="auto"/>
                <w:sz w:val="24"/>
                <w:szCs w:val="24"/>
                <w:highlight w:val="none"/>
              </w:rPr>
            </w:pPr>
            <w:r>
              <w:rPr>
                <w:color w:val="auto"/>
                <w:sz w:val="24"/>
                <w:szCs w:val="24"/>
                <w:highlight w:val="none"/>
              </w:rPr>
              <w:t>项目交通噪声根据环境质量现状监测结果显示，此次监测</w:t>
            </w:r>
            <w:r>
              <w:rPr>
                <w:rFonts w:hint="eastAsia"/>
                <w:color w:val="auto"/>
                <w:sz w:val="24"/>
                <w:szCs w:val="24"/>
                <w:highlight w:val="none"/>
              </w:rPr>
              <w:t>道路</w:t>
            </w:r>
            <w:r>
              <w:rPr>
                <w:color w:val="auto"/>
                <w:sz w:val="24"/>
                <w:szCs w:val="24"/>
                <w:highlight w:val="none"/>
              </w:rPr>
              <w:t>昼</w:t>
            </w:r>
            <w:r>
              <w:rPr>
                <w:rFonts w:hint="eastAsia"/>
                <w:color w:val="auto"/>
                <w:sz w:val="24"/>
                <w:szCs w:val="24"/>
                <w:highlight w:val="none"/>
              </w:rPr>
              <w:t>夜</w:t>
            </w:r>
            <w:r>
              <w:rPr>
                <w:color w:val="auto"/>
                <w:sz w:val="24"/>
                <w:szCs w:val="24"/>
                <w:highlight w:val="none"/>
              </w:rPr>
              <w:t>噪声</w:t>
            </w:r>
            <w:r>
              <w:rPr>
                <w:rFonts w:hint="eastAsia"/>
                <w:color w:val="auto"/>
                <w:sz w:val="24"/>
                <w:szCs w:val="24"/>
                <w:highlight w:val="none"/>
              </w:rPr>
              <w:t>均</w:t>
            </w:r>
            <w:r>
              <w:rPr>
                <w:color w:val="auto"/>
                <w:sz w:val="24"/>
                <w:szCs w:val="24"/>
                <w:highlight w:val="none"/>
              </w:rPr>
              <w:t>达到《声环境质量标准》（GB3096-2008）</w:t>
            </w:r>
            <w:r>
              <w:rPr>
                <w:rFonts w:hint="eastAsia"/>
                <w:color w:val="auto"/>
                <w:sz w:val="24"/>
                <w:szCs w:val="24"/>
                <w:highlight w:val="none"/>
              </w:rPr>
              <w:t>4a</w:t>
            </w:r>
            <w:r>
              <w:rPr>
                <w:color w:val="auto"/>
                <w:sz w:val="24"/>
                <w:szCs w:val="24"/>
                <w:highlight w:val="none"/>
              </w:rPr>
              <w:t>类</w:t>
            </w:r>
            <w:r>
              <w:rPr>
                <w:rFonts w:hint="eastAsia"/>
                <w:color w:val="auto"/>
                <w:sz w:val="24"/>
                <w:szCs w:val="24"/>
                <w:highlight w:val="none"/>
              </w:rPr>
              <w:t>标准。</w:t>
            </w:r>
          </w:p>
          <w:p>
            <w:pPr>
              <w:pStyle w:val="4"/>
              <w:ind w:firstLine="480"/>
              <w:rPr>
                <w:color w:val="auto"/>
                <w:sz w:val="24"/>
                <w:szCs w:val="24"/>
                <w:highlight w:val="none"/>
              </w:rPr>
            </w:pPr>
          </w:p>
          <w:p>
            <w:pPr>
              <w:pStyle w:val="4"/>
              <w:ind w:firstLine="480"/>
              <w:rPr>
                <w:bCs/>
                <w:color w:val="auto"/>
                <w:sz w:val="24"/>
                <w:highlight w:val="none"/>
              </w:rPr>
            </w:pPr>
          </w:p>
          <w:p>
            <w:pPr>
              <w:pStyle w:val="4"/>
              <w:ind w:firstLine="480"/>
              <w:rPr>
                <w:bCs/>
                <w:color w:val="auto"/>
                <w:sz w:val="24"/>
                <w:highlight w:val="none"/>
              </w:rPr>
            </w:pPr>
          </w:p>
          <w:p>
            <w:pPr>
              <w:pStyle w:val="4"/>
              <w:ind w:firstLine="480"/>
              <w:rPr>
                <w:bCs/>
                <w:color w:val="auto"/>
                <w:sz w:val="24"/>
                <w:highlight w:val="none"/>
              </w:rPr>
            </w:pPr>
          </w:p>
          <w:p>
            <w:pPr>
              <w:pStyle w:val="4"/>
              <w:ind w:firstLine="480"/>
              <w:rPr>
                <w:bCs/>
                <w:color w:val="auto"/>
                <w:sz w:val="24"/>
                <w:highlight w:val="none"/>
              </w:rPr>
            </w:pPr>
          </w:p>
          <w:p>
            <w:pPr>
              <w:pStyle w:val="4"/>
              <w:ind w:firstLine="0" w:firstLineChars="0"/>
              <w:rPr>
                <w:bCs/>
                <w:color w:val="auto"/>
                <w:sz w:val="24"/>
                <w:highlight w:val="none"/>
              </w:rPr>
            </w:pPr>
          </w:p>
          <w:p>
            <w:pPr>
              <w:pStyle w:val="4"/>
              <w:ind w:firstLine="0" w:firstLineChars="0"/>
              <w:rPr>
                <w:bCs/>
                <w:color w:val="auto"/>
                <w:sz w:val="24"/>
                <w:highlight w:val="none"/>
              </w:rPr>
            </w:pPr>
          </w:p>
          <w:p>
            <w:pPr>
              <w:pStyle w:val="4"/>
              <w:ind w:firstLine="0" w:firstLineChars="0"/>
              <w:rPr>
                <w:bCs/>
                <w:color w:val="auto"/>
                <w:sz w:val="24"/>
                <w:highlight w:val="none"/>
              </w:rPr>
            </w:pPr>
          </w:p>
          <w:p>
            <w:pPr>
              <w:pStyle w:val="4"/>
              <w:ind w:firstLine="0" w:firstLineChars="0"/>
              <w:rPr>
                <w:bCs/>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49" w:hRule="atLeast"/>
          <w:jc w:val="center"/>
        </w:trPr>
        <w:tc>
          <w:tcPr>
            <w:tcW w:w="911" w:type="dxa"/>
            <w:vAlign w:val="center"/>
          </w:tcPr>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生态环境</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保护</w:t>
            </w:r>
          </w:p>
          <w:p>
            <w:pPr>
              <w:adjustRightInd w:val="0"/>
              <w:snapToGrid w:val="0"/>
              <w:jc w:val="center"/>
              <w:rPr>
                <w:bCs/>
                <w:color w:val="auto"/>
                <w:sz w:val="24"/>
                <w:highlight w:val="none"/>
              </w:rPr>
            </w:pPr>
            <w:r>
              <w:rPr>
                <w:rFonts w:hint="eastAsia" w:ascii="宋体" w:hAnsi="宋体" w:cs="宋体"/>
                <w:color w:val="auto"/>
                <w:kern w:val="0"/>
                <w:szCs w:val="21"/>
                <w:highlight w:val="none"/>
              </w:rPr>
              <w:t>目标</w:t>
            </w:r>
          </w:p>
        </w:tc>
        <w:tc>
          <w:tcPr>
            <w:tcW w:w="8079" w:type="dxa"/>
            <w:vAlign w:val="center"/>
          </w:tcPr>
          <w:p>
            <w:pPr>
              <w:widowControl/>
              <w:spacing w:line="460" w:lineRule="exact"/>
              <w:ind w:firstLine="480" w:firstLineChars="200"/>
              <w:jc w:val="left"/>
              <w:rPr>
                <w:color w:val="auto"/>
                <w:kern w:val="0"/>
                <w:sz w:val="24"/>
                <w:highlight w:val="none"/>
              </w:rPr>
            </w:pPr>
            <w:r>
              <w:rPr>
                <w:rFonts w:hint="eastAsia"/>
                <w:color w:val="auto"/>
                <w:sz w:val="24"/>
                <w:highlight w:val="none"/>
              </w:rPr>
              <w:t>1、大气环境：</w:t>
            </w:r>
            <w:r>
              <w:rPr>
                <w:color w:val="auto"/>
                <w:kern w:val="0"/>
                <w:sz w:val="24"/>
                <w:highlight w:val="none"/>
              </w:rPr>
              <w:t>项目所在地周边无自然保护区、风景名胜区和文物古迹等特殊保护对象，根据项目特点及周围环境调查，项目所在地主要环境空气保护目标见</w:t>
            </w:r>
            <w:r>
              <w:rPr>
                <w:rFonts w:hint="eastAsia"/>
                <w:color w:val="auto"/>
                <w:kern w:val="0"/>
                <w:sz w:val="24"/>
                <w:highlight w:val="none"/>
              </w:rPr>
              <w:t>下表</w:t>
            </w:r>
            <w:r>
              <w:rPr>
                <w:color w:val="auto"/>
                <w:kern w:val="0"/>
                <w:sz w:val="24"/>
                <w:highlight w:val="none"/>
              </w:rPr>
              <w:t>。</w:t>
            </w:r>
          </w:p>
          <w:p>
            <w:pPr>
              <w:snapToGrid w:val="0"/>
              <w:spacing w:beforeLines="30"/>
              <w:jc w:val="center"/>
              <w:rPr>
                <w:b/>
                <w:bCs/>
                <w:color w:val="auto"/>
                <w:highlight w:val="none"/>
              </w:rPr>
            </w:pPr>
            <w:r>
              <w:rPr>
                <w:b/>
                <w:bCs/>
                <w:color w:val="auto"/>
                <w:highlight w:val="none"/>
              </w:rPr>
              <w:t>表3-</w:t>
            </w:r>
            <w:r>
              <w:rPr>
                <w:rFonts w:hint="eastAsia"/>
                <w:b/>
                <w:bCs/>
                <w:color w:val="auto"/>
                <w:highlight w:val="none"/>
              </w:rPr>
              <w:t xml:space="preserve">7 </w:t>
            </w:r>
            <w:r>
              <w:rPr>
                <w:b/>
                <w:bCs/>
                <w:color w:val="auto"/>
                <w:highlight w:val="none"/>
              </w:rPr>
              <w:t>项目周边环境空气保护目标</w:t>
            </w:r>
          </w:p>
          <w:tbl>
            <w:tblPr>
              <w:tblStyle w:val="18"/>
              <w:tblW w:w="797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43"/>
              <w:gridCol w:w="538"/>
              <w:gridCol w:w="550"/>
              <w:gridCol w:w="1471"/>
              <w:gridCol w:w="1009"/>
              <w:gridCol w:w="2155"/>
              <w:gridCol w:w="750"/>
              <w:gridCol w:w="8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43" w:type="dxa"/>
                  <w:vMerge w:val="restart"/>
                  <w:vAlign w:val="center"/>
                </w:tcPr>
                <w:p>
                  <w:pPr>
                    <w:snapToGrid w:val="0"/>
                    <w:jc w:val="center"/>
                    <w:rPr>
                      <w:b/>
                      <w:bCs/>
                      <w:color w:val="auto"/>
                      <w:highlight w:val="none"/>
                    </w:rPr>
                  </w:pPr>
                  <w:r>
                    <w:rPr>
                      <w:b/>
                      <w:bCs/>
                      <w:color w:val="auto"/>
                      <w:highlight w:val="none"/>
                    </w:rPr>
                    <w:t>环境</w:t>
                  </w:r>
                </w:p>
                <w:p>
                  <w:pPr>
                    <w:snapToGrid w:val="0"/>
                    <w:jc w:val="center"/>
                    <w:rPr>
                      <w:b/>
                      <w:bCs/>
                      <w:color w:val="auto"/>
                      <w:highlight w:val="none"/>
                    </w:rPr>
                  </w:pPr>
                  <w:r>
                    <w:rPr>
                      <w:b/>
                      <w:bCs/>
                      <w:color w:val="auto"/>
                      <w:highlight w:val="none"/>
                    </w:rPr>
                    <w:t>要素</w:t>
                  </w:r>
                </w:p>
              </w:tc>
              <w:tc>
                <w:tcPr>
                  <w:tcW w:w="1088" w:type="dxa"/>
                  <w:gridSpan w:val="2"/>
                  <w:vAlign w:val="center"/>
                </w:tcPr>
                <w:p>
                  <w:pPr>
                    <w:snapToGrid w:val="0"/>
                    <w:jc w:val="center"/>
                    <w:rPr>
                      <w:b/>
                      <w:bCs/>
                      <w:color w:val="auto"/>
                      <w:highlight w:val="none"/>
                    </w:rPr>
                  </w:pPr>
                  <w:r>
                    <w:rPr>
                      <w:b/>
                      <w:bCs/>
                      <w:color w:val="auto"/>
                      <w:highlight w:val="none"/>
                    </w:rPr>
                    <w:t>坐标/m</w:t>
                  </w:r>
                </w:p>
              </w:tc>
              <w:tc>
                <w:tcPr>
                  <w:tcW w:w="1471" w:type="dxa"/>
                  <w:vMerge w:val="restart"/>
                  <w:vAlign w:val="center"/>
                </w:tcPr>
                <w:p>
                  <w:pPr>
                    <w:snapToGrid w:val="0"/>
                    <w:jc w:val="center"/>
                    <w:rPr>
                      <w:b/>
                      <w:bCs/>
                      <w:color w:val="auto"/>
                      <w:highlight w:val="none"/>
                    </w:rPr>
                  </w:pPr>
                  <w:r>
                    <w:rPr>
                      <w:b/>
                      <w:bCs/>
                      <w:color w:val="auto"/>
                      <w:highlight w:val="none"/>
                    </w:rPr>
                    <w:t>保护对象</w:t>
                  </w:r>
                </w:p>
              </w:tc>
              <w:tc>
                <w:tcPr>
                  <w:tcW w:w="1009" w:type="dxa"/>
                  <w:vMerge w:val="restart"/>
                  <w:vAlign w:val="center"/>
                </w:tcPr>
                <w:p>
                  <w:pPr>
                    <w:snapToGrid w:val="0"/>
                    <w:jc w:val="center"/>
                    <w:rPr>
                      <w:b/>
                      <w:bCs/>
                      <w:color w:val="auto"/>
                      <w:highlight w:val="none"/>
                    </w:rPr>
                  </w:pPr>
                  <w:r>
                    <w:rPr>
                      <w:b/>
                      <w:bCs/>
                      <w:color w:val="auto"/>
                      <w:highlight w:val="none"/>
                    </w:rPr>
                    <w:t>保护内容</w:t>
                  </w:r>
                </w:p>
              </w:tc>
              <w:tc>
                <w:tcPr>
                  <w:tcW w:w="2155" w:type="dxa"/>
                  <w:vMerge w:val="restart"/>
                  <w:vAlign w:val="center"/>
                </w:tcPr>
                <w:p>
                  <w:pPr>
                    <w:snapToGrid w:val="0"/>
                    <w:jc w:val="center"/>
                    <w:rPr>
                      <w:b/>
                      <w:bCs/>
                      <w:color w:val="auto"/>
                      <w:highlight w:val="none"/>
                    </w:rPr>
                  </w:pPr>
                  <w:r>
                    <w:rPr>
                      <w:b/>
                      <w:bCs/>
                      <w:color w:val="auto"/>
                      <w:highlight w:val="none"/>
                    </w:rPr>
                    <w:t>环境功能区</w:t>
                  </w:r>
                </w:p>
              </w:tc>
              <w:tc>
                <w:tcPr>
                  <w:tcW w:w="750" w:type="dxa"/>
                  <w:vMerge w:val="restart"/>
                  <w:vAlign w:val="center"/>
                </w:tcPr>
                <w:p>
                  <w:pPr>
                    <w:snapToGrid w:val="0"/>
                    <w:jc w:val="center"/>
                    <w:rPr>
                      <w:b/>
                      <w:bCs/>
                      <w:color w:val="auto"/>
                      <w:highlight w:val="none"/>
                    </w:rPr>
                  </w:pPr>
                  <w:r>
                    <w:rPr>
                      <w:b/>
                      <w:bCs/>
                      <w:color w:val="auto"/>
                      <w:highlight w:val="none"/>
                    </w:rPr>
                    <w:t>相对</w:t>
                  </w:r>
                  <w:r>
                    <w:rPr>
                      <w:rFonts w:hint="eastAsia"/>
                      <w:b/>
                      <w:bCs/>
                      <w:color w:val="auto"/>
                      <w:highlight w:val="none"/>
                    </w:rPr>
                    <w:t>起点</w:t>
                  </w:r>
                  <w:r>
                    <w:rPr>
                      <w:b/>
                      <w:bCs/>
                      <w:color w:val="auto"/>
                      <w:highlight w:val="none"/>
                    </w:rPr>
                    <w:t>方位</w:t>
                  </w:r>
                </w:p>
              </w:tc>
              <w:tc>
                <w:tcPr>
                  <w:tcW w:w="858" w:type="dxa"/>
                  <w:vMerge w:val="restart"/>
                  <w:vAlign w:val="center"/>
                </w:tcPr>
                <w:p>
                  <w:pPr>
                    <w:snapToGrid w:val="0"/>
                    <w:jc w:val="center"/>
                    <w:rPr>
                      <w:b/>
                      <w:bCs/>
                      <w:color w:val="auto"/>
                      <w:highlight w:val="none"/>
                    </w:rPr>
                  </w:pPr>
                  <w:r>
                    <w:rPr>
                      <w:rFonts w:hint="eastAsia"/>
                      <w:b/>
                      <w:color w:val="auto"/>
                      <w:szCs w:val="21"/>
                      <w:highlight w:val="none"/>
                    </w:rPr>
                    <w:t>距离道路起点中心线距离/m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43" w:type="dxa"/>
                  <w:vMerge w:val="continue"/>
                  <w:vAlign w:val="center"/>
                </w:tcPr>
                <w:p>
                  <w:pPr>
                    <w:snapToGrid w:val="0"/>
                    <w:jc w:val="center"/>
                    <w:rPr>
                      <w:color w:val="auto"/>
                      <w:highlight w:val="none"/>
                    </w:rPr>
                  </w:pPr>
                </w:p>
              </w:tc>
              <w:tc>
                <w:tcPr>
                  <w:tcW w:w="538" w:type="dxa"/>
                  <w:vAlign w:val="center"/>
                </w:tcPr>
                <w:p>
                  <w:pPr>
                    <w:snapToGrid w:val="0"/>
                    <w:jc w:val="center"/>
                    <w:rPr>
                      <w:b/>
                      <w:bCs/>
                      <w:color w:val="auto"/>
                      <w:highlight w:val="none"/>
                    </w:rPr>
                  </w:pPr>
                  <w:r>
                    <w:rPr>
                      <w:rFonts w:hint="eastAsia"/>
                      <w:b/>
                      <w:bCs/>
                      <w:color w:val="auto"/>
                      <w:highlight w:val="none"/>
                    </w:rPr>
                    <w:t>X</w:t>
                  </w:r>
                </w:p>
              </w:tc>
              <w:tc>
                <w:tcPr>
                  <w:tcW w:w="550" w:type="dxa"/>
                  <w:vAlign w:val="center"/>
                </w:tcPr>
                <w:p>
                  <w:pPr>
                    <w:snapToGrid w:val="0"/>
                    <w:jc w:val="center"/>
                    <w:rPr>
                      <w:b/>
                      <w:bCs/>
                      <w:color w:val="auto"/>
                      <w:highlight w:val="none"/>
                    </w:rPr>
                  </w:pPr>
                  <w:r>
                    <w:rPr>
                      <w:b/>
                      <w:bCs/>
                      <w:color w:val="auto"/>
                      <w:highlight w:val="none"/>
                    </w:rPr>
                    <w:t>Y</w:t>
                  </w:r>
                </w:p>
              </w:tc>
              <w:tc>
                <w:tcPr>
                  <w:tcW w:w="1471" w:type="dxa"/>
                  <w:vMerge w:val="continue"/>
                  <w:vAlign w:val="center"/>
                </w:tcPr>
                <w:p>
                  <w:pPr>
                    <w:snapToGrid w:val="0"/>
                    <w:jc w:val="center"/>
                    <w:rPr>
                      <w:color w:val="auto"/>
                      <w:highlight w:val="none"/>
                    </w:rPr>
                  </w:pPr>
                </w:p>
              </w:tc>
              <w:tc>
                <w:tcPr>
                  <w:tcW w:w="1009" w:type="dxa"/>
                  <w:vMerge w:val="continue"/>
                  <w:vAlign w:val="center"/>
                </w:tcPr>
                <w:p>
                  <w:pPr>
                    <w:snapToGrid w:val="0"/>
                    <w:jc w:val="center"/>
                    <w:rPr>
                      <w:color w:val="auto"/>
                      <w:highlight w:val="none"/>
                    </w:rPr>
                  </w:pPr>
                </w:p>
              </w:tc>
              <w:tc>
                <w:tcPr>
                  <w:tcW w:w="2155" w:type="dxa"/>
                  <w:vMerge w:val="continue"/>
                  <w:vAlign w:val="center"/>
                </w:tcPr>
                <w:p>
                  <w:pPr>
                    <w:snapToGrid w:val="0"/>
                    <w:jc w:val="center"/>
                    <w:rPr>
                      <w:color w:val="auto"/>
                      <w:highlight w:val="none"/>
                    </w:rPr>
                  </w:pPr>
                </w:p>
              </w:tc>
              <w:tc>
                <w:tcPr>
                  <w:tcW w:w="750" w:type="dxa"/>
                  <w:vMerge w:val="continue"/>
                  <w:vAlign w:val="center"/>
                </w:tcPr>
                <w:p>
                  <w:pPr>
                    <w:snapToGrid w:val="0"/>
                    <w:jc w:val="center"/>
                    <w:rPr>
                      <w:color w:val="auto"/>
                      <w:highlight w:val="none"/>
                    </w:rPr>
                  </w:pPr>
                </w:p>
              </w:tc>
              <w:tc>
                <w:tcPr>
                  <w:tcW w:w="858" w:type="dxa"/>
                  <w:vMerge w:val="continue"/>
                  <w:vAlign w:val="center"/>
                </w:tcPr>
                <w:p>
                  <w:pPr>
                    <w:snapToGrid w:val="0"/>
                    <w:jc w:val="center"/>
                    <w:rPr>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43" w:type="dxa"/>
                  <w:vMerge w:val="restart"/>
                  <w:vAlign w:val="center"/>
                </w:tcPr>
                <w:p>
                  <w:pPr>
                    <w:snapToGrid w:val="0"/>
                    <w:jc w:val="center"/>
                    <w:rPr>
                      <w:color w:val="auto"/>
                      <w:highlight w:val="none"/>
                    </w:rPr>
                  </w:pPr>
                  <w:r>
                    <w:rPr>
                      <w:color w:val="auto"/>
                      <w:highlight w:val="none"/>
                    </w:rPr>
                    <w:t>大气</w:t>
                  </w:r>
                </w:p>
                <w:p>
                  <w:pPr>
                    <w:snapToGrid w:val="0"/>
                    <w:jc w:val="center"/>
                    <w:rPr>
                      <w:color w:val="auto"/>
                      <w:highlight w:val="none"/>
                    </w:rPr>
                  </w:pPr>
                  <w:r>
                    <w:rPr>
                      <w:color w:val="auto"/>
                      <w:highlight w:val="none"/>
                    </w:rPr>
                    <w:t>环境</w:t>
                  </w:r>
                </w:p>
              </w:tc>
              <w:tc>
                <w:tcPr>
                  <w:tcW w:w="538" w:type="dxa"/>
                  <w:vAlign w:val="center"/>
                </w:tcPr>
                <w:p>
                  <w:pPr>
                    <w:spacing w:line="320" w:lineRule="exact"/>
                    <w:jc w:val="center"/>
                    <w:rPr>
                      <w:color w:val="auto"/>
                      <w:szCs w:val="21"/>
                      <w:highlight w:val="none"/>
                    </w:rPr>
                  </w:pPr>
                  <w:r>
                    <w:rPr>
                      <w:rFonts w:hint="eastAsia"/>
                      <w:color w:val="auto"/>
                      <w:szCs w:val="21"/>
                      <w:highlight w:val="none"/>
                    </w:rPr>
                    <w:t>70</w:t>
                  </w:r>
                </w:p>
              </w:tc>
              <w:tc>
                <w:tcPr>
                  <w:tcW w:w="550" w:type="dxa"/>
                  <w:vAlign w:val="center"/>
                </w:tcPr>
                <w:p>
                  <w:pPr>
                    <w:snapToGrid w:val="0"/>
                    <w:jc w:val="center"/>
                    <w:rPr>
                      <w:color w:val="auto"/>
                      <w:szCs w:val="21"/>
                      <w:highlight w:val="none"/>
                    </w:rPr>
                  </w:pPr>
                  <w:r>
                    <w:rPr>
                      <w:rFonts w:hint="eastAsia"/>
                      <w:color w:val="auto"/>
                      <w:szCs w:val="21"/>
                      <w:highlight w:val="none"/>
                    </w:rPr>
                    <w:t>55</w:t>
                  </w:r>
                </w:p>
              </w:tc>
              <w:tc>
                <w:tcPr>
                  <w:tcW w:w="1471" w:type="dxa"/>
                  <w:vAlign w:val="center"/>
                </w:tcPr>
                <w:p>
                  <w:pPr>
                    <w:snapToGrid w:val="0"/>
                    <w:jc w:val="center"/>
                    <w:rPr>
                      <w:color w:val="auto"/>
                      <w:szCs w:val="21"/>
                      <w:highlight w:val="none"/>
                    </w:rPr>
                  </w:pPr>
                  <w:r>
                    <w:rPr>
                      <w:rFonts w:hint="eastAsia"/>
                      <w:color w:val="auto"/>
                      <w:szCs w:val="21"/>
                      <w:highlight w:val="none"/>
                    </w:rPr>
                    <w:t>昂内·天骄花园</w:t>
                  </w:r>
                </w:p>
              </w:tc>
              <w:tc>
                <w:tcPr>
                  <w:tcW w:w="1009" w:type="dxa"/>
                  <w:vAlign w:val="center"/>
                </w:tcPr>
                <w:p>
                  <w:pPr>
                    <w:snapToGrid w:val="0"/>
                    <w:jc w:val="center"/>
                    <w:rPr>
                      <w:color w:val="auto"/>
                      <w:szCs w:val="21"/>
                      <w:highlight w:val="none"/>
                    </w:rPr>
                  </w:pPr>
                  <w:r>
                    <w:rPr>
                      <w:rFonts w:hint="eastAsia"/>
                      <w:color w:val="auto"/>
                      <w:szCs w:val="21"/>
                      <w:highlight w:val="none"/>
                    </w:rPr>
                    <w:t>居民</w:t>
                  </w:r>
                </w:p>
              </w:tc>
              <w:tc>
                <w:tcPr>
                  <w:tcW w:w="2155" w:type="dxa"/>
                  <w:vMerge w:val="restart"/>
                  <w:vAlign w:val="center"/>
                </w:tcPr>
                <w:p>
                  <w:pPr>
                    <w:snapToGrid w:val="0"/>
                    <w:jc w:val="center"/>
                    <w:rPr>
                      <w:color w:val="auto"/>
                      <w:szCs w:val="21"/>
                      <w:highlight w:val="none"/>
                    </w:rPr>
                  </w:pPr>
                  <w:r>
                    <w:rPr>
                      <w:color w:val="auto"/>
                      <w:szCs w:val="21"/>
                      <w:highlight w:val="none"/>
                    </w:rPr>
                    <w:t>《环境空气质量标准》（GB3095-2012）</w:t>
                  </w:r>
                </w:p>
                <w:p>
                  <w:pPr>
                    <w:snapToGrid w:val="0"/>
                    <w:jc w:val="center"/>
                    <w:rPr>
                      <w:color w:val="auto"/>
                      <w:szCs w:val="21"/>
                      <w:highlight w:val="none"/>
                    </w:rPr>
                  </w:pPr>
                  <w:r>
                    <w:rPr>
                      <w:color w:val="auto"/>
                      <w:szCs w:val="21"/>
                      <w:highlight w:val="none"/>
                    </w:rPr>
                    <w:t>二类区</w:t>
                  </w:r>
                </w:p>
              </w:tc>
              <w:tc>
                <w:tcPr>
                  <w:tcW w:w="750" w:type="dxa"/>
                  <w:vAlign w:val="center"/>
                </w:tcPr>
                <w:p>
                  <w:pPr>
                    <w:spacing w:line="320" w:lineRule="exact"/>
                    <w:jc w:val="center"/>
                    <w:rPr>
                      <w:color w:val="auto"/>
                      <w:szCs w:val="21"/>
                      <w:highlight w:val="none"/>
                    </w:rPr>
                  </w:pPr>
                  <w:r>
                    <w:rPr>
                      <w:rFonts w:hint="eastAsia"/>
                      <w:color w:val="auto"/>
                      <w:szCs w:val="21"/>
                      <w:highlight w:val="none"/>
                    </w:rPr>
                    <w:t>NE</w:t>
                  </w:r>
                </w:p>
              </w:tc>
              <w:tc>
                <w:tcPr>
                  <w:tcW w:w="858" w:type="dxa"/>
                  <w:vAlign w:val="center"/>
                </w:tcPr>
                <w:p>
                  <w:pPr>
                    <w:spacing w:line="320" w:lineRule="exact"/>
                    <w:jc w:val="center"/>
                    <w:rPr>
                      <w:color w:val="auto"/>
                      <w:szCs w:val="21"/>
                      <w:highlight w:val="none"/>
                    </w:rPr>
                  </w:pPr>
                  <w:r>
                    <w:rPr>
                      <w:rFonts w:hint="eastAsia"/>
                      <w:color w:val="auto"/>
                      <w:szCs w:val="21"/>
                      <w:highlight w:val="none"/>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643" w:type="dxa"/>
                  <w:vMerge w:val="continue"/>
                  <w:vAlign w:val="center"/>
                </w:tcPr>
                <w:p>
                  <w:pPr>
                    <w:snapToGrid w:val="0"/>
                    <w:jc w:val="center"/>
                    <w:rPr>
                      <w:color w:val="auto"/>
                      <w:highlight w:val="none"/>
                    </w:rPr>
                  </w:pPr>
                </w:p>
              </w:tc>
              <w:tc>
                <w:tcPr>
                  <w:tcW w:w="538" w:type="dxa"/>
                  <w:vAlign w:val="center"/>
                </w:tcPr>
                <w:p>
                  <w:pPr>
                    <w:spacing w:line="320" w:lineRule="exact"/>
                    <w:jc w:val="center"/>
                    <w:rPr>
                      <w:color w:val="auto"/>
                      <w:szCs w:val="21"/>
                      <w:highlight w:val="none"/>
                    </w:rPr>
                  </w:pPr>
                  <w:r>
                    <w:rPr>
                      <w:rFonts w:hint="eastAsia"/>
                      <w:color w:val="auto"/>
                      <w:szCs w:val="21"/>
                      <w:highlight w:val="none"/>
                    </w:rPr>
                    <w:t>65</w:t>
                  </w:r>
                </w:p>
              </w:tc>
              <w:tc>
                <w:tcPr>
                  <w:tcW w:w="550" w:type="dxa"/>
                  <w:vAlign w:val="center"/>
                </w:tcPr>
                <w:p>
                  <w:pPr>
                    <w:spacing w:line="320" w:lineRule="exact"/>
                    <w:jc w:val="center"/>
                    <w:rPr>
                      <w:color w:val="auto"/>
                      <w:szCs w:val="21"/>
                      <w:highlight w:val="none"/>
                    </w:rPr>
                  </w:pPr>
                  <w:r>
                    <w:rPr>
                      <w:rFonts w:hint="eastAsia"/>
                      <w:color w:val="auto"/>
                      <w:szCs w:val="21"/>
                      <w:highlight w:val="none"/>
                    </w:rPr>
                    <w:t>-135</w:t>
                  </w:r>
                </w:p>
              </w:tc>
              <w:tc>
                <w:tcPr>
                  <w:tcW w:w="1471" w:type="dxa"/>
                  <w:vAlign w:val="center"/>
                </w:tcPr>
                <w:p>
                  <w:pPr>
                    <w:spacing w:line="320" w:lineRule="exact"/>
                    <w:jc w:val="center"/>
                    <w:rPr>
                      <w:color w:val="auto"/>
                      <w:szCs w:val="21"/>
                      <w:highlight w:val="none"/>
                    </w:rPr>
                  </w:pPr>
                  <w:r>
                    <w:rPr>
                      <w:rFonts w:hint="eastAsia"/>
                      <w:color w:val="auto"/>
                      <w:szCs w:val="21"/>
                      <w:highlight w:val="none"/>
                    </w:rPr>
                    <w:t>日兴花园</w:t>
                  </w:r>
                </w:p>
              </w:tc>
              <w:tc>
                <w:tcPr>
                  <w:tcW w:w="1009" w:type="dxa"/>
                  <w:vAlign w:val="center"/>
                </w:tcPr>
                <w:p>
                  <w:pPr>
                    <w:snapToGrid w:val="0"/>
                    <w:jc w:val="center"/>
                    <w:rPr>
                      <w:color w:val="auto"/>
                      <w:szCs w:val="21"/>
                      <w:highlight w:val="none"/>
                    </w:rPr>
                  </w:pPr>
                  <w:r>
                    <w:rPr>
                      <w:rFonts w:hint="eastAsia"/>
                      <w:color w:val="auto"/>
                      <w:szCs w:val="21"/>
                      <w:highlight w:val="none"/>
                    </w:rPr>
                    <w:t>居民</w:t>
                  </w:r>
                </w:p>
              </w:tc>
              <w:tc>
                <w:tcPr>
                  <w:tcW w:w="2155" w:type="dxa"/>
                  <w:vMerge w:val="continue"/>
                  <w:vAlign w:val="center"/>
                </w:tcPr>
                <w:p>
                  <w:pPr>
                    <w:snapToGrid w:val="0"/>
                    <w:jc w:val="center"/>
                    <w:rPr>
                      <w:color w:val="auto"/>
                      <w:szCs w:val="21"/>
                      <w:highlight w:val="none"/>
                    </w:rPr>
                  </w:pPr>
                </w:p>
              </w:tc>
              <w:tc>
                <w:tcPr>
                  <w:tcW w:w="750" w:type="dxa"/>
                  <w:vAlign w:val="center"/>
                </w:tcPr>
                <w:p>
                  <w:pPr>
                    <w:spacing w:line="320" w:lineRule="exact"/>
                    <w:jc w:val="center"/>
                    <w:rPr>
                      <w:color w:val="auto"/>
                      <w:szCs w:val="21"/>
                      <w:highlight w:val="none"/>
                    </w:rPr>
                  </w:pPr>
                  <w:r>
                    <w:rPr>
                      <w:rFonts w:hint="eastAsia"/>
                      <w:color w:val="auto"/>
                      <w:szCs w:val="21"/>
                      <w:highlight w:val="none"/>
                    </w:rPr>
                    <w:t>SE</w:t>
                  </w:r>
                </w:p>
              </w:tc>
              <w:tc>
                <w:tcPr>
                  <w:tcW w:w="858" w:type="dxa"/>
                  <w:vAlign w:val="center"/>
                </w:tcPr>
                <w:p>
                  <w:pPr>
                    <w:spacing w:line="320" w:lineRule="exact"/>
                    <w:jc w:val="center"/>
                    <w:rPr>
                      <w:color w:val="auto"/>
                      <w:szCs w:val="21"/>
                      <w:highlight w:val="none"/>
                    </w:rPr>
                  </w:pPr>
                  <w:r>
                    <w:rPr>
                      <w:rFonts w:hint="eastAsia"/>
                      <w:color w:val="auto"/>
                      <w:szCs w:val="21"/>
                      <w:highlight w:val="none"/>
                    </w:rPr>
                    <w:t>155</w:t>
                  </w:r>
                </w:p>
              </w:tc>
            </w:tr>
          </w:tbl>
          <w:p>
            <w:pPr>
              <w:widowControl/>
              <w:rPr>
                <w:rFonts w:ascii="宋体" w:hAnsi="宋体" w:cs="宋体"/>
                <w:color w:val="auto"/>
                <w:kern w:val="0"/>
                <w:szCs w:val="21"/>
                <w:highlight w:val="none"/>
              </w:rPr>
            </w:pPr>
            <w:r>
              <w:rPr>
                <w:rFonts w:hint="eastAsia" w:ascii="宋体" w:hAnsi="宋体" w:cs="宋体"/>
                <w:color w:val="auto"/>
                <w:kern w:val="0"/>
                <w:szCs w:val="21"/>
                <w:highlight w:val="none"/>
              </w:rPr>
              <w:t>备注：坐标原点为本项目起点：（0,0）。坐标原点经纬度：经度:</w:t>
            </w:r>
            <w:r>
              <w:rPr>
                <w:rFonts w:hint="eastAsia"/>
                <w:bCs/>
                <w:color w:val="auto"/>
                <w:szCs w:val="21"/>
                <w:highlight w:val="none"/>
              </w:rPr>
              <w:t>E120°42′0.3564″，</w:t>
            </w:r>
            <w:r>
              <w:rPr>
                <w:rFonts w:hint="eastAsia" w:ascii="宋体" w:hAnsi="宋体" w:cs="宋体"/>
                <w:color w:val="auto"/>
                <w:kern w:val="0"/>
                <w:szCs w:val="21"/>
                <w:highlight w:val="none"/>
              </w:rPr>
              <w:t>纬度:</w:t>
            </w:r>
            <w:r>
              <w:rPr>
                <w:rFonts w:hint="eastAsia"/>
                <w:bCs/>
                <w:color w:val="auto"/>
                <w:szCs w:val="21"/>
                <w:highlight w:val="none"/>
              </w:rPr>
              <w:t>31°19′30.08280″</w:t>
            </w:r>
            <w:r>
              <w:rPr>
                <w:rFonts w:hint="eastAsia" w:ascii="宋体" w:hAnsi="宋体" w:cs="宋体"/>
                <w:color w:val="auto"/>
                <w:kern w:val="0"/>
                <w:szCs w:val="21"/>
                <w:highlight w:val="none"/>
              </w:rPr>
              <w:t>。</w:t>
            </w:r>
          </w:p>
          <w:p>
            <w:pPr>
              <w:adjustRightInd w:val="0"/>
              <w:snapToGrid w:val="0"/>
              <w:spacing w:line="360" w:lineRule="auto"/>
              <w:ind w:firstLine="480" w:firstLineChars="200"/>
              <w:rPr>
                <w:color w:val="auto"/>
                <w:sz w:val="24"/>
                <w:highlight w:val="none"/>
              </w:rPr>
            </w:pPr>
            <w:r>
              <w:rPr>
                <w:rFonts w:hint="eastAsia"/>
                <w:color w:val="auto"/>
                <w:sz w:val="24"/>
                <w:highlight w:val="none"/>
              </w:rPr>
              <w:t>2、声环境：经现场踏勘、调查统计，项目道路沿线200m范围内的敏感点及其详细信息见下表。</w:t>
            </w:r>
          </w:p>
          <w:p>
            <w:pPr>
              <w:pStyle w:val="3"/>
              <w:ind w:firstLine="422"/>
              <w:jc w:val="center"/>
              <w:rPr>
                <w:color w:val="auto"/>
                <w:highlight w:val="none"/>
              </w:rPr>
            </w:pPr>
            <w:r>
              <w:rPr>
                <w:b/>
                <w:bCs/>
                <w:color w:val="auto"/>
                <w:highlight w:val="none"/>
              </w:rPr>
              <w:t>表3-</w:t>
            </w:r>
            <w:r>
              <w:rPr>
                <w:rFonts w:hint="eastAsia"/>
                <w:b/>
                <w:bCs/>
                <w:color w:val="auto"/>
                <w:highlight w:val="none"/>
              </w:rPr>
              <w:t>7</w:t>
            </w:r>
            <w:r>
              <w:rPr>
                <w:b/>
                <w:bCs/>
                <w:color w:val="auto"/>
                <w:highlight w:val="none"/>
              </w:rPr>
              <w:t>项目周边</w:t>
            </w:r>
            <w:r>
              <w:rPr>
                <w:rFonts w:hint="eastAsia"/>
                <w:b/>
                <w:bCs/>
                <w:color w:val="auto"/>
                <w:highlight w:val="none"/>
              </w:rPr>
              <w:t>声</w:t>
            </w:r>
            <w:r>
              <w:rPr>
                <w:b/>
                <w:bCs/>
                <w:color w:val="auto"/>
                <w:highlight w:val="none"/>
              </w:rPr>
              <w:t>环境保护目标</w:t>
            </w:r>
          </w:p>
          <w:tbl>
            <w:tblPr>
              <w:tblStyle w:val="18"/>
              <w:tblW w:w="783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66"/>
              <w:gridCol w:w="684"/>
              <w:gridCol w:w="458"/>
              <w:gridCol w:w="582"/>
              <w:gridCol w:w="455"/>
              <w:gridCol w:w="406"/>
              <w:gridCol w:w="894"/>
              <w:gridCol w:w="793"/>
              <w:gridCol w:w="831"/>
              <w:gridCol w:w="772"/>
              <w:gridCol w:w="764"/>
              <w:gridCol w:w="9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86" w:hRule="atLeast"/>
              </w:trPr>
              <w:tc>
                <w:tcPr>
                  <w:tcW w:w="169" w:type="pct"/>
                  <w:vMerge w:val="restart"/>
                  <w:vAlign w:val="center"/>
                </w:tcPr>
                <w:p>
                  <w:pPr>
                    <w:spacing w:line="360" w:lineRule="atLeast"/>
                    <w:jc w:val="center"/>
                    <w:rPr>
                      <w:b/>
                      <w:color w:val="auto"/>
                      <w:szCs w:val="21"/>
                      <w:highlight w:val="none"/>
                    </w:rPr>
                  </w:pPr>
                  <w:r>
                    <w:rPr>
                      <w:rFonts w:hint="eastAsia"/>
                      <w:b/>
                      <w:color w:val="auto"/>
                      <w:szCs w:val="21"/>
                      <w:highlight w:val="none"/>
                    </w:rPr>
                    <w:t>序号</w:t>
                  </w:r>
                </w:p>
              </w:tc>
              <w:tc>
                <w:tcPr>
                  <w:tcW w:w="436" w:type="pct"/>
                  <w:vMerge w:val="restart"/>
                  <w:vAlign w:val="center"/>
                </w:tcPr>
                <w:p>
                  <w:pPr>
                    <w:spacing w:line="360" w:lineRule="atLeast"/>
                    <w:jc w:val="center"/>
                    <w:rPr>
                      <w:b/>
                      <w:color w:val="auto"/>
                      <w:szCs w:val="21"/>
                      <w:highlight w:val="none"/>
                    </w:rPr>
                  </w:pPr>
                  <w:r>
                    <w:rPr>
                      <w:rFonts w:hint="eastAsia"/>
                      <w:b/>
                      <w:color w:val="auto"/>
                      <w:szCs w:val="21"/>
                      <w:highlight w:val="none"/>
                    </w:rPr>
                    <w:t>声</w:t>
                  </w:r>
                  <w:r>
                    <w:rPr>
                      <w:b/>
                      <w:color w:val="auto"/>
                      <w:szCs w:val="21"/>
                      <w:highlight w:val="none"/>
                    </w:rPr>
                    <w:t>环境保护</w:t>
                  </w:r>
                  <w:r>
                    <w:rPr>
                      <w:rFonts w:hint="eastAsia"/>
                      <w:b/>
                      <w:color w:val="auto"/>
                      <w:szCs w:val="21"/>
                      <w:highlight w:val="none"/>
                    </w:rPr>
                    <w:t>目标</w:t>
                  </w:r>
                  <w:r>
                    <w:rPr>
                      <w:b/>
                      <w:color w:val="auto"/>
                      <w:szCs w:val="21"/>
                      <w:highlight w:val="none"/>
                    </w:rPr>
                    <w:t>名称</w:t>
                  </w:r>
                </w:p>
              </w:tc>
              <w:tc>
                <w:tcPr>
                  <w:tcW w:w="292" w:type="pct"/>
                  <w:vMerge w:val="restart"/>
                  <w:tcMar>
                    <w:left w:w="57" w:type="dxa"/>
                    <w:right w:w="57" w:type="dxa"/>
                  </w:tcMar>
                  <w:vAlign w:val="center"/>
                </w:tcPr>
                <w:p>
                  <w:pPr>
                    <w:spacing w:line="360" w:lineRule="atLeast"/>
                    <w:jc w:val="center"/>
                    <w:rPr>
                      <w:b/>
                      <w:color w:val="auto"/>
                      <w:szCs w:val="21"/>
                      <w:highlight w:val="none"/>
                    </w:rPr>
                  </w:pPr>
                  <w:r>
                    <w:rPr>
                      <w:rFonts w:hint="eastAsia"/>
                      <w:b/>
                      <w:color w:val="auto"/>
                      <w:szCs w:val="21"/>
                      <w:highlight w:val="none"/>
                    </w:rPr>
                    <w:t>所在路段</w:t>
                  </w:r>
                </w:p>
              </w:tc>
              <w:tc>
                <w:tcPr>
                  <w:tcW w:w="371" w:type="pct"/>
                  <w:vMerge w:val="restart"/>
                  <w:tcMar>
                    <w:left w:w="57" w:type="dxa"/>
                    <w:right w:w="57" w:type="dxa"/>
                  </w:tcMar>
                  <w:vAlign w:val="center"/>
                </w:tcPr>
                <w:p>
                  <w:pPr>
                    <w:spacing w:line="360" w:lineRule="atLeast"/>
                    <w:jc w:val="center"/>
                    <w:rPr>
                      <w:b/>
                      <w:color w:val="auto"/>
                      <w:szCs w:val="21"/>
                      <w:highlight w:val="none"/>
                    </w:rPr>
                  </w:pPr>
                  <w:r>
                    <w:rPr>
                      <w:rFonts w:hint="eastAsia"/>
                      <w:b/>
                      <w:color w:val="auto"/>
                      <w:szCs w:val="21"/>
                      <w:highlight w:val="none"/>
                    </w:rPr>
                    <w:t>里程范围</w:t>
                  </w:r>
                </w:p>
              </w:tc>
              <w:tc>
                <w:tcPr>
                  <w:tcW w:w="290" w:type="pct"/>
                  <w:vMerge w:val="restart"/>
                  <w:tcMar>
                    <w:left w:w="57" w:type="dxa"/>
                    <w:right w:w="57" w:type="dxa"/>
                  </w:tcMar>
                  <w:vAlign w:val="center"/>
                </w:tcPr>
                <w:p>
                  <w:pPr>
                    <w:spacing w:line="360" w:lineRule="atLeast"/>
                    <w:jc w:val="center"/>
                    <w:rPr>
                      <w:b/>
                      <w:color w:val="auto"/>
                      <w:szCs w:val="21"/>
                      <w:highlight w:val="none"/>
                    </w:rPr>
                  </w:pPr>
                  <w:r>
                    <w:rPr>
                      <w:rFonts w:hint="eastAsia"/>
                      <w:b/>
                      <w:color w:val="auto"/>
                      <w:szCs w:val="21"/>
                      <w:highlight w:val="none"/>
                    </w:rPr>
                    <w:t>线路形式</w:t>
                  </w:r>
                </w:p>
              </w:tc>
              <w:tc>
                <w:tcPr>
                  <w:tcW w:w="259" w:type="pct"/>
                  <w:vMerge w:val="restart"/>
                  <w:tcMar>
                    <w:left w:w="57" w:type="dxa"/>
                    <w:right w:w="57" w:type="dxa"/>
                  </w:tcMar>
                  <w:vAlign w:val="center"/>
                </w:tcPr>
                <w:p>
                  <w:pPr>
                    <w:spacing w:line="360" w:lineRule="atLeast"/>
                    <w:jc w:val="center"/>
                    <w:rPr>
                      <w:b/>
                      <w:color w:val="auto"/>
                      <w:szCs w:val="21"/>
                      <w:highlight w:val="none"/>
                    </w:rPr>
                  </w:pPr>
                  <w:r>
                    <w:rPr>
                      <w:rFonts w:hint="eastAsia"/>
                      <w:b/>
                      <w:color w:val="auto"/>
                      <w:szCs w:val="21"/>
                      <w:highlight w:val="none"/>
                    </w:rPr>
                    <w:t>方位</w:t>
                  </w:r>
                </w:p>
              </w:tc>
              <w:tc>
                <w:tcPr>
                  <w:tcW w:w="570" w:type="pct"/>
                  <w:vMerge w:val="restart"/>
                  <w:tcMar>
                    <w:left w:w="57" w:type="dxa"/>
                    <w:right w:w="57" w:type="dxa"/>
                  </w:tcMar>
                  <w:vAlign w:val="center"/>
                </w:tcPr>
                <w:p>
                  <w:pPr>
                    <w:spacing w:line="360" w:lineRule="atLeast"/>
                    <w:jc w:val="center"/>
                    <w:rPr>
                      <w:b/>
                      <w:color w:val="auto"/>
                      <w:szCs w:val="21"/>
                      <w:highlight w:val="none"/>
                    </w:rPr>
                  </w:pPr>
                  <w:r>
                    <w:rPr>
                      <w:rFonts w:hint="eastAsia"/>
                      <w:b/>
                      <w:color w:val="auto"/>
                      <w:szCs w:val="21"/>
                      <w:highlight w:val="none"/>
                    </w:rPr>
                    <w:t>声</w:t>
                  </w:r>
                  <w:r>
                    <w:rPr>
                      <w:b/>
                      <w:color w:val="auto"/>
                      <w:szCs w:val="21"/>
                      <w:highlight w:val="none"/>
                    </w:rPr>
                    <w:t>环境保护</w:t>
                  </w:r>
                  <w:r>
                    <w:rPr>
                      <w:rFonts w:hint="eastAsia"/>
                      <w:b/>
                      <w:color w:val="auto"/>
                      <w:szCs w:val="21"/>
                      <w:highlight w:val="none"/>
                    </w:rPr>
                    <w:t>目标预测点与路面高差</w:t>
                  </w:r>
                </w:p>
              </w:tc>
              <w:tc>
                <w:tcPr>
                  <w:tcW w:w="505" w:type="pct"/>
                  <w:vMerge w:val="restart"/>
                  <w:tcMar>
                    <w:left w:w="57" w:type="dxa"/>
                    <w:right w:w="57" w:type="dxa"/>
                  </w:tcMar>
                  <w:vAlign w:val="center"/>
                </w:tcPr>
                <w:p>
                  <w:pPr>
                    <w:spacing w:line="360" w:lineRule="atLeast"/>
                    <w:jc w:val="center"/>
                    <w:rPr>
                      <w:b/>
                      <w:color w:val="auto"/>
                      <w:szCs w:val="21"/>
                      <w:highlight w:val="none"/>
                    </w:rPr>
                  </w:pPr>
                  <w:r>
                    <w:rPr>
                      <w:rFonts w:hint="eastAsia"/>
                      <w:b/>
                      <w:color w:val="auto"/>
                      <w:szCs w:val="21"/>
                      <w:highlight w:val="none"/>
                    </w:rPr>
                    <w:t>距离道路边界（红线）距离/m</w:t>
                  </w:r>
                </w:p>
              </w:tc>
              <w:tc>
                <w:tcPr>
                  <w:tcW w:w="530" w:type="pct"/>
                  <w:vMerge w:val="restart"/>
                  <w:tcMar>
                    <w:left w:w="57" w:type="dxa"/>
                    <w:right w:w="57" w:type="dxa"/>
                  </w:tcMar>
                  <w:vAlign w:val="center"/>
                </w:tcPr>
                <w:p>
                  <w:pPr>
                    <w:spacing w:line="360" w:lineRule="atLeast"/>
                    <w:jc w:val="center"/>
                    <w:rPr>
                      <w:bCs/>
                      <w:color w:val="auto"/>
                      <w:szCs w:val="21"/>
                      <w:highlight w:val="none"/>
                    </w:rPr>
                  </w:pPr>
                  <w:r>
                    <w:rPr>
                      <w:rFonts w:hint="eastAsia"/>
                      <w:b/>
                      <w:color w:val="auto"/>
                      <w:szCs w:val="21"/>
                      <w:highlight w:val="none"/>
                    </w:rPr>
                    <w:t>距离道路中心线距离/m</w:t>
                  </w:r>
                </w:p>
              </w:tc>
              <w:tc>
                <w:tcPr>
                  <w:tcW w:w="980" w:type="pct"/>
                  <w:gridSpan w:val="2"/>
                  <w:tcMar>
                    <w:left w:w="57" w:type="dxa"/>
                    <w:right w:w="57" w:type="dxa"/>
                  </w:tcMar>
                  <w:vAlign w:val="center"/>
                </w:tcPr>
                <w:p>
                  <w:pPr>
                    <w:spacing w:line="360" w:lineRule="atLeast"/>
                    <w:jc w:val="center"/>
                    <w:rPr>
                      <w:rFonts w:hint="eastAsia"/>
                      <w:b/>
                      <w:color w:val="auto"/>
                      <w:szCs w:val="21"/>
                      <w:highlight w:val="none"/>
                    </w:rPr>
                  </w:pPr>
                  <w:r>
                    <w:rPr>
                      <w:rFonts w:hint="eastAsia"/>
                      <w:b/>
                      <w:color w:val="auto"/>
                      <w:szCs w:val="21"/>
                      <w:highlight w:val="none"/>
                    </w:rPr>
                    <w:t>不同功能区户数</w:t>
                  </w:r>
                </w:p>
              </w:tc>
              <w:tc>
                <w:tcPr>
                  <w:tcW w:w="594" w:type="pct"/>
                  <w:vMerge w:val="restart"/>
                  <w:tcMar>
                    <w:left w:w="57" w:type="dxa"/>
                    <w:right w:w="57" w:type="dxa"/>
                  </w:tcMar>
                  <w:vAlign w:val="center"/>
                </w:tcPr>
                <w:p>
                  <w:pPr>
                    <w:spacing w:line="360" w:lineRule="atLeast"/>
                    <w:jc w:val="center"/>
                    <w:rPr>
                      <w:b/>
                      <w:color w:val="auto"/>
                      <w:szCs w:val="21"/>
                      <w:highlight w:val="none"/>
                    </w:rPr>
                  </w:pPr>
                  <w:r>
                    <w:rPr>
                      <w:rFonts w:hint="eastAsia"/>
                      <w:b/>
                      <w:color w:val="auto"/>
                      <w:szCs w:val="21"/>
                      <w:highlight w:val="none"/>
                    </w:rPr>
                    <w:t>保护目标情况说明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34" w:hRule="atLeast"/>
              </w:trPr>
              <w:tc>
                <w:tcPr>
                  <w:tcW w:w="169" w:type="pct"/>
                  <w:vMerge w:val="continue"/>
                  <w:tcMar>
                    <w:left w:w="108" w:type="dxa"/>
                    <w:right w:w="108" w:type="dxa"/>
                  </w:tcMar>
                  <w:vAlign w:val="center"/>
                </w:tcPr>
                <w:p>
                  <w:pPr>
                    <w:snapToGrid w:val="0"/>
                    <w:jc w:val="center"/>
                    <w:rPr>
                      <w:color w:val="auto"/>
                      <w:szCs w:val="21"/>
                      <w:highlight w:val="none"/>
                    </w:rPr>
                  </w:pPr>
                </w:p>
              </w:tc>
              <w:tc>
                <w:tcPr>
                  <w:tcW w:w="436" w:type="pct"/>
                  <w:vMerge w:val="continue"/>
                  <w:tcMar>
                    <w:left w:w="108" w:type="dxa"/>
                    <w:right w:w="108" w:type="dxa"/>
                  </w:tcMar>
                  <w:vAlign w:val="center"/>
                </w:tcPr>
                <w:p>
                  <w:pPr>
                    <w:snapToGrid w:val="0"/>
                    <w:jc w:val="center"/>
                    <w:rPr>
                      <w:color w:val="auto"/>
                      <w:szCs w:val="21"/>
                      <w:highlight w:val="none"/>
                    </w:rPr>
                  </w:pPr>
                </w:p>
              </w:tc>
              <w:tc>
                <w:tcPr>
                  <w:tcW w:w="292" w:type="pct"/>
                  <w:vMerge w:val="continue"/>
                  <w:tcMar>
                    <w:left w:w="108" w:type="dxa"/>
                    <w:right w:w="108" w:type="dxa"/>
                  </w:tcMar>
                  <w:vAlign w:val="center"/>
                </w:tcPr>
                <w:p>
                  <w:pPr>
                    <w:snapToGrid w:val="0"/>
                    <w:jc w:val="center"/>
                    <w:rPr>
                      <w:color w:val="auto"/>
                      <w:szCs w:val="21"/>
                      <w:highlight w:val="none"/>
                    </w:rPr>
                  </w:pPr>
                </w:p>
              </w:tc>
              <w:tc>
                <w:tcPr>
                  <w:tcW w:w="371" w:type="pct"/>
                  <w:vMerge w:val="continue"/>
                  <w:tcMar>
                    <w:left w:w="108" w:type="dxa"/>
                    <w:right w:w="108" w:type="dxa"/>
                  </w:tcMar>
                  <w:vAlign w:val="center"/>
                </w:tcPr>
                <w:p>
                  <w:pPr>
                    <w:snapToGrid w:val="0"/>
                    <w:jc w:val="center"/>
                    <w:rPr>
                      <w:color w:val="auto"/>
                      <w:szCs w:val="21"/>
                      <w:highlight w:val="none"/>
                    </w:rPr>
                  </w:pPr>
                </w:p>
              </w:tc>
              <w:tc>
                <w:tcPr>
                  <w:tcW w:w="290" w:type="pct"/>
                  <w:vMerge w:val="continue"/>
                  <w:tcMar>
                    <w:left w:w="108" w:type="dxa"/>
                    <w:right w:w="108" w:type="dxa"/>
                  </w:tcMar>
                  <w:vAlign w:val="center"/>
                </w:tcPr>
                <w:p>
                  <w:pPr>
                    <w:snapToGrid w:val="0"/>
                    <w:jc w:val="center"/>
                    <w:rPr>
                      <w:color w:val="auto"/>
                      <w:szCs w:val="21"/>
                      <w:highlight w:val="none"/>
                    </w:rPr>
                  </w:pPr>
                </w:p>
              </w:tc>
              <w:tc>
                <w:tcPr>
                  <w:tcW w:w="259" w:type="pct"/>
                  <w:vMerge w:val="continue"/>
                  <w:tcMar>
                    <w:left w:w="108" w:type="dxa"/>
                    <w:right w:w="108" w:type="dxa"/>
                  </w:tcMar>
                  <w:vAlign w:val="center"/>
                </w:tcPr>
                <w:p>
                  <w:pPr>
                    <w:snapToGrid w:val="0"/>
                    <w:jc w:val="center"/>
                    <w:rPr>
                      <w:color w:val="auto"/>
                      <w:szCs w:val="21"/>
                      <w:highlight w:val="none"/>
                    </w:rPr>
                  </w:pPr>
                </w:p>
              </w:tc>
              <w:tc>
                <w:tcPr>
                  <w:tcW w:w="570" w:type="pct"/>
                  <w:vMerge w:val="continue"/>
                  <w:tcMar>
                    <w:left w:w="108" w:type="dxa"/>
                    <w:right w:w="108" w:type="dxa"/>
                  </w:tcMar>
                  <w:vAlign w:val="center"/>
                </w:tcPr>
                <w:p>
                  <w:pPr>
                    <w:snapToGrid w:val="0"/>
                    <w:jc w:val="center"/>
                    <w:rPr>
                      <w:color w:val="auto"/>
                      <w:szCs w:val="21"/>
                      <w:highlight w:val="none"/>
                    </w:rPr>
                  </w:pPr>
                </w:p>
              </w:tc>
              <w:tc>
                <w:tcPr>
                  <w:tcW w:w="505" w:type="pct"/>
                  <w:vMerge w:val="continue"/>
                  <w:tcMar>
                    <w:left w:w="108" w:type="dxa"/>
                    <w:right w:w="108" w:type="dxa"/>
                  </w:tcMar>
                  <w:vAlign w:val="center"/>
                </w:tcPr>
                <w:p>
                  <w:pPr>
                    <w:snapToGrid w:val="0"/>
                    <w:jc w:val="center"/>
                    <w:rPr>
                      <w:color w:val="auto"/>
                      <w:szCs w:val="21"/>
                      <w:highlight w:val="none"/>
                    </w:rPr>
                  </w:pPr>
                </w:p>
              </w:tc>
              <w:tc>
                <w:tcPr>
                  <w:tcW w:w="530" w:type="pct"/>
                  <w:vMerge w:val="continue"/>
                  <w:tcMar>
                    <w:left w:w="108" w:type="dxa"/>
                    <w:right w:w="108" w:type="dxa"/>
                  </w:tcMar>
                  <w:vAlign w:val="center"/>
                </w:tcPr>
                <w:p>
                  <w:pPr>
                    <w:snapToGrid w:val="0"/>
                    <w:jc w:val="center"/>
                    <w:rPr>
                      <w:color w:val="auto"/>
                      <w:szCs w:val="21"/>
                      <w:highlight w:val="none"/>
                    </w:rPr>
                  </w:pPr>
                </w:p>
              </w:tc>
              <w:tc>
                <w:tcPr>
                  <w:tcW w:w="492" w:type="pct"/>
                  <w:tcMar>
                    <w:left w:w="108" w:type="dxa"/>
                    <w:right w:w="108" w:type="dxa"/>
                  </w:tcMar>
                  <w:vAlign w:val="center"/>
                </w:tcPr>
                <w:p>
                  <w:pPr>
                    <w:snapToGrid w:val="0"/>
                    <w:jc w:val="center"/>
                    <w:rPr>
                      <w:rFonts w:hint="default" w:eastAsia="宋体"/>
                      <w:color w:val="auto"/>
                      <w:szCs w:val="21"/>
                      <w:highlight w:val="none"/>
                      <w:lang w:val="en-US" w:eastAsia="zh-CN"/>
                    </w:rPr>
                  </w:pPr>
                  <w:r>
                    <w:rPr>
                      <w:rFonts w:hint="eastAsia"/>
                      <w:b/>
                      <w:bCs/>
                      <w:color w:val="auto"/>
                      <w:szCs w:val="21"/>
                      <w:highlight w:val="none"/>
                      <w:lang w:val="en-US" w:eastAsia="zh-CN"/>
                    </w:rPr>
                    <w:t>2类</w:t>
                  </w:r>
                </w:p>
              </w:tc>
              <w:tc>
                <w:tcPr>
                  <w:tcW w:w="487" w:type="pct"/>
                  <w:tcMar>
                    <w:left w:w="108" w:type="dxa"/>
                    <w:right w:w="108" w:type="dxa"/>
                  </w:tcMar>
                  <w:vAlign w:val="center"/>
                </w:tcPr>
                <w:p>
                  <w:pPr>
                    <w:widowControl/>
                    <w:jc w:val="center"/>
                    <w:rPr>
                      <w:color w:val="auto"/>
                      <w:kern w:val="0"/>
                      <w:szCs w:val="21"/>
                      <w:highlight w:val="none"/>
                    </w:rPr>
                  </w:pPr>
                  <w:r>
                    <w:rPr>
                      <w:rFonts w:hint="eastAsia"/>
                      <w:b/>
                      <w:bCs/>
                      <w:color w:val="auto"/>
                      <w:szCs w:val="21"/>
                      <w:highlight w:val="none"/>
                    </w:rPr>
                    <w:t>4a类</w:t>
                  </w:r>
                </w:p>
              </w:tc>
              <w:tc>
                <w:tcPr>
                  <w:tcW w:w="594" w:type="pct"/>
                  <w:vMerge w:val="continue"/>
                  <w:tcMar>
                    <w:left w:w="108" w:type="dxa"/>
                    <w:right w:w="108" w:type="dxa"/>
                  </w:tcMar>
                  <w:vAlign w:val="center"/>
                </w:tcPr>
                <w:p>
                  <w:pPr>
                    <w:widowControl/>
                    <w:jc w:val="center"/>
                    <w:rPr>
                      <w:color w:val="auto"/>
                      <w:kern w:val="0"/>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96" w:hRule="atLeast"/>
              </w:trPr>
              <w:tc>
                <w:tcPr>
                  <w:tcW w:w="169" w:type="pct"/>
                  <w:tcMar>
                    <w:left w:w="108" w:type="dxa"/>
                    <w:right w:w="108" w:type="dxa"/>
                  </w:tcMar>
                  <w:vAlign w:val="center"/>
                </w:tcPr>
                <w:p>
                  <w:pPr>
                    <w:snapToGrid w:val="0"/>
                    <w:jc w:val="center"/>
                    <w:rPr>
                      <w:color w:val="auto"/>
                      <w:szCs w:val="21"/>
                      <w:highlight w:val="none"/>
                    </w:rPr>
                  </w:pPr>
                  <w:r>
                    <w:rPr>
                      <w:rFonts w:hint="eastAsia"/>
                      <w:color w:val="auto"/>
                      <w:szCs w:val="21"/>
                      <w:highlight w:val="none"/>
                    </w:rPr>
                    <w:t>1</w:t>
                  </w:r>
                </w:p>
              </w:tc>
              <w:tc>
                <w:tcPr>
                  <w:tcW w:w="436" w:type="pct"/>
                  <w:tcMar>
                    <w:left w:w="108" w:type="dxa"/>
                    <w:right w:w="108" w:type="dxa"/>
                  </w:tcMar>
                  <w:vAlign w:val="center"/>
                </w:tcPr>
                <w:p>
                  <w:pPr>
                    <w:snapToGrid w:val="0"/>
                    <w:jc w:val="center"/>
                    <w:rPr>
                      <w:color w:val="auto"/>
                      <w:szCs w:val="21"/>
                      <w:highlight w:val="none"/>
                    </w:rPr>
                  </w:pPr>
                  <w:r>
                    <w:rPr>
                      <w:rFonts w:hint="eastAsia"/>
                      <w:color w:val="auto"/>
                      <w:szCs w:val="21"/>
                      <w:highlight w:val="none"/>
                    </w:rPr>
                    <w:t>昂内·天骄花园</w:t>
                  </w:r>
                </w:p>
              </w:tc>
              <w:tc>
                <w:tcPr>
                  <w:tcW w:w="292" w:type="pct"/>
                  <w:tcMar>
                    <w:left w:w="108" w:type="dxa"/>
                    <w:right w:w="108" w:type="dxa"/>
                  </w:tcMar>
                  <w:vAlign w:val="center"/>
                </w:tcPr>
                <w:p>
                  <w:pPr>
                    <w:snapToGrid w:val="0"/>
                    <w:jc w:val="center"/>
                    <w:rPr>
                      <w:color w:val="auto"/>
                      <w:szCs w:val="21"/>
                      <w:highlight w:val="none"/>
                    </w:rPr>
                  </w:pPr>
                  <w:r>
                    <w:rPr>
                      <w:rFonts w:hint="eastAsia"/>
                      <w:color w:val="auto"/>
                      <w:szCs w:val="21"/>
                      <w:highlight w:val="none"/>
                    </w:rPr>
                    <w:t>道路起点东北侧</w:t>
                  </w:r>
                </w:p>
              </w:tc>
              <w:tc>
                <w:tcPr>
                  <w:tcW w:w="371" w:type="pct"/>
                  <w:tcMar>
                    <w:left w:w="108" w:type="dxa"/>
                    <w:right w:w="108" w:type="dxa"/>
                  </w:tcMar>
                  <w:vAlign w:val="center"/>
                </w:tcPr>
                <w:p>
                  <w:pPr>
                    <w:snapToGrid w:val="0"/>
                    <w:jc w:val="center"/>
                    <w:rPr>
                      <w:color w:val="auto"/>
                      <w:szCs w:val="21"/>
                      <w:highlight w:val="none"/>
                    </w:rPr>
                  </w:pPr>
                  <w:r>
                    <w:rPr>
                      <w:rFonts w:hint="eastAsia"/>
                      <w:color w:val="auto"/>
                      <w:szCs w:val="21"/>
                      <w:highlight w:val="none"/>
                    </w:rPr>
                    <w:t>400m</w:t>
                  </w:r>
                </w:p>
              </w:tc>
              <w:tc>
                <w:tcPr>
                  <w:tcW w:w="290" w:type="pct"/>
                  <w:tcMar>
                    <w:left w:w="108" w:type="dxa"/>
                    <w:right w:w="108" w:type="dxa"/>
                  </w:tcMar>
                  <w:vAlign w:val="center"/>
                </w:tcPr>
                <w:p>
                  <w:pPr>
                    <w:snapToGrid w:val="0"/>
                    <w:jc w:val="center"/>
                    <w:rPr>
                      <w:color w:val="auto"/>
                      <w:szCs w:val="21"/>
                      <w:highlight w:val="none"/>
                    </w:rPr>
                  </w:pPr>
                  <w:r>
                    <w:rPr>
                      <w:rFonts w:hint="eastAsia"/>
                      <w:color w:val="auto"/>
                      <w:szCs w:val="21"/>
                      <w:highlight w:val="none"/>
                    </w:rPr>
                    <w:t>地面道路</w:t>
                  </w:r>
                </w:p>
              </w:tc>
              <w:tc>
                <w:tcPr>
                  <w:tcW w:w="259" w:type="pct"/>
                  <w:tcMar>
                    <w:left w:w="108" w:type="dxa"/>
                    <w:right w:w="108" w:type="dxa"/>
                  </w:tcMar>
                  <w:vAlign w:val="center"/>
                </w:tcPr>
                <w:p>
                  <w:pPr>
                    <w:snapToGrid w:val="0"/>
                    <w:jc w:val="center"/>
                    <w:rPr>
                      <w:color w:val="auto"/>
                      <w:szCs w:val="21"/>
                      <w:highlight w:val="none"/>
                    </w:rPr>
                  </w:pPr>
                  <w:r>
                    <w:rPr>
                      <w:rFonts w:hint="eastAsia"/>
                      <w:color w:val="auto"/>
                      <w:szCs w:val="21"/>
                      <w:highlight w:val="none"/>
                    </w:rPr>
                    <w:t>东北</w:t>
                  </w:r>
                </w:p>
              </w:tc>
              <w:tc>
                <w:tcPr>
                  <w:tcW w:w="570" w:type="pct"/>
                  <w:tcMar>
                    <w:left w:w="108" w:type="dxa"/>
                    <w:right w:w="108" w:type="dxa"/>
                  </w:tcMar>
                  <w:vAlign w:val="center"/>
                </w:tcPr>
                <w:p>
                  <w:pPr>
                    <w:snapToGrid w:val="0"/>
                    <w:jc w:val="center"/>
                    <w:rPr>
                      <w:color w:val="auto"/>
                      <w:szCs w:val="21"/>
                      <w:highlight w:val="none"/>
                    </w:rPr>
                  </w:pPr>
                  <w:r>
                    <w:rPr>
                      <w:rFonts w:hint="eastAsia"/>
                      <w:color w:val="auto"/>
                      <w:szCs w:val="21"/>
                      <w:highlight w:val="none"/>
                    </w:rPr>
                    <w:t>预测第一点距路面1m，其余每五层预测一点至顶层</w:t>
                  </w:r>
                </w:p>
              </w:tc>
              <w:tc>
                <w:tcPr>
                  <w:tcW w:w="505" w:type="pct"/>
                  <w:tcMar>
                    <w:left w:w="108" w:type="dxa"/>
                    <w:right w:w="108" w:type="dxa"/>
                  </w:tcMar>
                  <w:vAlign w:val="center"/>
                </w:tcPr>
                <w:p>
                  <w:pPr>
                    <w:snapToGrid w:val="0"/>
                    <w:jc w:val="center"/>
                    <w:rPr>
                      <w:b/>
                      <w:bCs/>
                      <w:color w:val="auto"/>
                      <w:szCs w:val="21"/>
                      <w:highlight w:val="none"/>
                    </w:rPr>
                  </w:pPr>
                  <w:r>
                    <w:rPr>
                      <w:rFonts w:hint="eastAsia"/>
                      <w:color w:val="auto"/>
                      <w:szCs w:val="21"/>
                      <w:highlight w:val="none"/>
                    </w:rPr>
                    <w:t>/</w:t>
                  </w:r>
                </w:p>
              </w:tc>
              <w:tc>
                <w:tcPr>
                  <w:tcW w:w="530" w:type="pct"/>
                  <w:tcMar>
                    <w:left w:w="108" w:type="dxa"/>
                    <w:right w:w="108" w:type="dxa"/>
                  </w:tcMar>
                  <w:vAlign w:val="center"/>
                </w:tcPr>
                <w:p>
                  <w:pPr>
                    <w:snapToGrid w:val="0"/>
                    <w:jc w:val="center"/>
                    <w:rPr>
                      <w:color w:val="auto"/>
                      <w:szCs w:val="21"/>
                      <w:highlight w:val="none"/>
                    </w:rPr>
                  </w:pPr>
                  <w:r>
                    <w:rPr>
                      <w:rFonts w:hint="eastAsia"/>
                      <w:color w:val="auto"/>
                      <w:szCs w:val="21"/>
                      <w:highlight w:val="none"/>
                    </w:rPr>
                    <w:t>75</w:t>
                  </w:r>
                </w:p>
              </w:tc>
              <w:tc>
                <w:tcPr>
                  <w:tcW w:w="772" w:type="dxa"/>
                  <w:tcMar>
                    <w:left w:w="108" w:type="dxa"/>
                    <w:right w:w="108" w:type="dxa"/>
                  </w:tcMar>
                  <w:vAlign w:val="center"/>
                </w:tcPr>
                <w:p>
                  <w:pPr>
                    <w:snapToGrid w:val="0"/>
                    <w:jc w:val="center"/>
                    <w:rPr>
                      <w:color w:val="auto"/>
                      <w:szCs w:val="21"/>
                      <w:highlight w:val="none"/>
                    </w:rPr>
                  </w:pPr>
                  <w:r>
                    <w:rPr>
                      <w:rFonts w:hint="eastAsia"/>
                      <w:color w:val="auto"/>
                      <w:szCs w:val="21"/>
                      <w:highlight w:val="none"/>
                    </w:rPr>
                    <w:t>708户</w:t>
                  </w:r>
                </w:p>
              </w:tc>
              <w:tc>
                <w:tcPr>
                  <w:tcW w:w="764" w:type="dxa"/>
                  <w:tcMar>
                    <w:left w:w="108" w:type="dxa"/>
                    <w:right w:w="108" w:type="dxa"/>
                  </w:tcMar>
                  <w:vAlign w:val="center"/>
                </w:tcPr>
                <w:p>
                  <w:pPr>
                    <w:snapToGrid w:val="0"/>
                    <w:jc w:val="center"/>
                    <w:rPr>
                      <w:rFonts w:hint="eastAsia"/>
                      <w:color w:val="auto"/>
                      <w:kern w:val="0"/>
                      <w:szCs w:val="21"/>
                      <w:highlight w:val="none"/>
                    </w:rPr>
                  </w:pPr>
                  <w:r>
                    <w:rPr>
                      <w:rFonts w:hint="eastAsia"/>
                      <w:color w:val="auto"/>
                      <w:szCs w:val="21"/>
                      <w:highlight w:val="none"/>
                    </w:rPr>
                    <w:t>540户</w:t>
                  </w:r>
                </w:p>
              </w:tc>
              <w:tc>
                <w:tcPr>
                  <w:tcW w:w="594" w:type="pct"/>
                  <w:tcMar>
                    <w:left w:w="108" w:type="dxa"/>
                    <w:right w:w="108" w:type="dxa"/>
                  </w:tcMar>
                  <w:vAlign w:val="center"/>
                </w:tcPr>
                <w:p>
                  <w:pPr>
                    <w:widowControl/>
                    <w:jc w:val="center"/>
                    <w:rPr>
                      <w:color w:val="auto"/>
                      <w:kern w:val="0"/>
                      <w:szCs w:val="21"/>
                      <w:highlight w:val="none"/>
                    </w:rPr>
                  </w:pPr>
                  <w:r>
                    <w:rPr>
                      <w:rFonts w:hint="eastAsia"/>
                      <w:color w:val="auto"/>
                      <w:kern w:val="0"/>
                      <w:szCs w:val="21"/>
                      <w:highlight w:val="none"/>
                    </w:rPr>
                    <w:t>钢筋混凝土结构、10层西侧朝向建筑，西侧侧朝向扬东路西延。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99" w:hRule="atLeast"/>
              </w:trPr>
              <w:tc>
                <w:tcPr>
                  <w:tcW w:w="169" w:type="pct"/>
                  <w:tcMar>
                    <w:left w:w="108" w:type="dxa"/>
                    <w:right w:w="108" w:type="dxa"/>
                  </w:tcMar>
                  <w:vAlign w:val="center"/>
                </w:tcPr>
                <w:p>
                  <w:pPr>
                    <w:snapToGrid w:val="0"/>
                    <w:jc w:val="center"/>
                    <w:rPr>
                      <w:color w:val="auto"/>
                      <w:szCs w:val="21"/>
                      <w:highlight w:val="none"/>
                    </w:rPr>
                  </w:pPr>
                  <w:r>
                    <w:rPr>
                      <w:rFonts w:hint="eastAsia"/>
                      <w:color w:val="auto"/>
                      <w:szCs w:val="21"/>
                      <w:highlight w:val="none"/>
                    </w:rPr>
                    <w:t>2</w:t>
                  </w:r>
                </w:p>
              </w:tc>
              <w:tc>
                <w:tcPr>
                  <w:tcW w:w="436" w:type="pct"/>
                  <w:tcMar>
                    <w:left w:w="108" w:type="dxa"/>
                    <w:right w:w="108" w:type="dxa"/>
                  </w:tcMar>
                  <w:vAlign w:val="center"/>
                </w:tcPr>
                <w:p>
                  <w:pPr>
                    <w:spacing w:line="320" w:lineRule="exact"/>
                    <w:jc w:val="center"/>
                    <w:rPr>
                      <w:color w:val="auto"/>
                      <w:szCs w:val="21"/>
                      <w:highlight w:val="none"/>
                    </w:rPr>
                  </w:pPr>
                  <w:r>
                    <w:rPr>
                      <w:rFonts w:hint="eastAsia"/>
                      <w:color w:val="auto"/>
                      <w:szCs w:val="21"/>
                      <w:highlight w:val="none"/>
                    </w:rPr>
                    <w:t>日兴花园</w:t>
                  </w:r>
                </w:p>
              </w:tc>
              <w:tc>
                <w:tcPr>
                  <w:tcW w:w="292" w:type="pct"/>
                  <w:tcMar>
                    <w:left w:w="108" w:type="dxa"/>
                    <w:right w:w="108" w:type="dxa"/>
                  </w:tcMar>
                  <w:vAlign w:val="center"/>
                </w:tcPr>
                <w:p>
                  <w:pPr>
                    <w:snapToGrid w:val="0"/>
                    <w:jc w:val="center"/>
                    <w:rPr>
                      <w:color w:val="auto"/>
                      <w:szCs w:val="21"/>
                      <w:highlight w:val="none"/>
                    </w:rPr>
                  </w:pPr>
                  <w:r>
                    <w:rPr>
                      <w:rFonts w:hint="eastAsia"/>
                      <w:color w:val="auto"/>
                      <w:szCs w:val="21"/>
                      <w:highlight w:val="none"/>
                    </w:rPr>
                    <w:t>道路起点东南侧</w:t>
                  </w:r>
                </w:p>
              </w:tc>
              <w:tc>
                <w:tcPr>
                  <w:tcW w:w="371" w:type="pct"/>
                  <w:tcMar>
                    <w:left w:w="108" w:type="dxa"/>
                    <w:right w:w="108" w:type="dxa"/>
                  </w:tcMar>
                  <w:vAlign w:val="center"/>
                </w:tcPr>
                <w:p>
                  <w:pPr>
                    <w:snapToGrid w:val="0"/>
                    <w:jc w:val="center"/>
                    <w:rPr>
                      <w:color w:val="auto"/>
                      <w:szCs w:val="21"/>
                      <w:highlight w:val="none"/>
                    </w:rPr>
                  </w:pPr>
                  <w:r>
                    <w:rPr>
                      <w:rFonts w:hint="eastAsia"/>
                      <w:color w:val="auto"/>
                      <w:szCs w:val="21"/>
                      <w:highlight w:val="none"/>
                    </w:rPr>
                    <w:t>170m</w:t>
                  </w:r>
                </w:p>
              </w:tc>
              <w:tc>
                <w:tcPr>
                  <w:tcW w:w="290" w:type="pct"/>
                  <w:tcMar>
                    <w:left w:w="108" w:type="dxa"/>
                    <w:right w:w="108" w:type="dxa"/>
                  </w:tcMar>
                  <w:vAlign w:val="center"/>
                </w:tcPr>
                <w:p>
                  <w:pPr>
                    <w:snapToGrid w:val="0"/>
                    <w:jc w:val="center"/>
                    <w:rPr>
                      <w:color w:val="auto"/>
                      <w:szCs w:val="21"/>
                      <w:highlight w:val="none"/>
                    </w:rPr>
                  </w:pPr>
                  <w:r>
                    <w:rPr>
                      <w:rFonts w:hint="eastAsia"/>
                      <w:color w:val="auto"/>
                      <w:szCs w:val="21"/>
                      <w:highlight w:val="none"/>
                    </w:rPr>
                    <w:t>地面道路</w:t>
                  </w:r>
                </w:p>
              </w:tc>
              <w:tc>
                <w:tcPr>
                  <w:tcW w:w="259" w:type="pct"/>
                  <w:tcMar>
                    <w:left w:w="108" w:type="dxa"/>
                    <w:right w:w="108" w:type="dxa"/>
                  </w:tcMar>
                  <w:vAlign w:val="center"/>
                </w:tcPr>
                <w:p>
                  <w:pPr>
                    <w:snapToGrid w:val="0"/>
                    <w:jc w:val="center"/>
                    <w:rPr>
                      <w:color w:val="auto"/>
                      <w:kern w:val="0"/>
                      <w:szCs w:val="21"/>
                      <w:highlight w:val="none"/>
                    </w:rPr>
                  </w:pPr>
                  <w:r>
                    <w:rPr>
                      <w:rFonts w:hint="eastAsia"/>
                      <w:color w:val="auto"/>
                      <w:kern w:val="0"/>
                      <w:szCs w:val="21"/>
                      <w:highlight w:val="none"/>
                    </w:rPr>
                    <w:t>东南</w:t>
                  </w:r>
                </w:p>
              </w:tc>
              <w:tc>
                <w:tcPr>
                  <w:tcW w:w="570" w:type="pct"/>
                  <w:tcMar>
                    <w:left w:w="108" w:type="dxa"/>
                    <w:right w:w="108" w:type="dxa"/>
                  </w:tcMar>
                  <w:vAlign w:val="center"/>
                </w:tcPr>
                <w:p>
                  <w:pPr>
                    <w:snapToGrid w:val="0"/>
                    <w:jc w:val="center"/>
                    <w:rPr>
                      <w:color w:val="auto"/>
                      <w:szCs w:val="21"/>
                      <w:highlight w:val="none"/>
                    </w:rPr>
                  </w:pPr>
                  <w:r>
                    <w:rPr>
                      <w:rFonts w:hint="eastAsia"/>
                      <w:color w:val="auto"/>
                      <w:szCs w:val="21"/>
                      <w:highlight w:val="none"/>
                    </w:rPr>
                    <w:t>预测距路面1m</w:t>
                  </w:r>
                </w:p>
              </w:tc>
              <w:tc>
                <w:tcPr>
                  <w:tcW w:w="505" w:type="pct"/>
                  <w:tcMar>
                    <w:left w:w="108" w:type="dxa"/>
                    <w:right w:w="108" w:type="dxa"/>
                  </w:tcMar>
                  <w:vAlign w:val="center"/>
                </w:tcPr>
                <w:p>
                  <w:pPr>
                    <w:snapToGrid w:val="0"/>
                    <w:jc w:val="center"/>
                    <w:rPr>
                      <w:b/>
                      <w:bCs/>
                      <w:color w:val="auto"/>
                      <w:szCs w:val="21"/>
                      <w:highlight w:val="none"/>
                    </w:rPr>
                  </w:pPr>
                  <w:r>
                    <w:rPr>
                      <w:rFonts w:hint="eastAsia"/>
                      <w:color w:val="auto"/>
                      <w:szCs w:val="21"/>
                      <w:highlight w:val="none"/>
                    </w:rPr>
                    <w:t>/</w:t>
                  </w:r>
                </w:p>
              </w:tc>
              <w:tc>
                <w:tcPr>
                  <w:tcW w:w="530" w:type="pct"/>
                  <w:tcMar>
                    <w:left w:w="108" w:type="dxa"/>
                    <w:right w:w="108" w:type="dxa"/>
                  </w:tcMar>
                  <w:vAlign w:val="center"/>
                </w:tcPr>
                <w:p>
                  <w:pPr>
                    <w:snapToGrid w:val="0"/>
                    <w:jc w:val="center"/>
                    <w:rPr>
                      <w:color w:val="auto"/>
                      <w:szCs w:val="21"/>
                      <w:highlight w:val="none"/>
                    </w:rPr>
                  </w:pPr>
                  <w:r>
                    <w:rPr>
                      <w:rFonts w:hint="eastAsia"/>
                      <w:color w:val="auto"/>
                      <w:szCs w:val="21"/>
                      <w:highlight w:val="none"/>
                    </w:rPr>
                    <w:t>155</w:t>
                  </w:r>
                </w:p>
              </w:tc>
              <w:tc>
                <w:tcPr>
                  <w:tcW w:w="772" w:type="dxa"/>
                  <w:tcMar>
                    <w:left w:w="108" w:type="dxa"/>
                    <w:right w:w="108" w:type="dxa"/>
                  </w:tcMar>
                  <w:vAlign w:val="center"/>
                </w:tcPr>
                <w:p>
                  <w:pPr>
                    <w:snapToGrid w:val="0"/>
                    <w:jc w:val="center"/>
                    <w:rPr>
                      <w:color w:val="auto"/>
                      <w:szCs w:val="21"/>
                      <w:highlight w:val="none"/>
                    </w:rPr>
                  </w:pPr>
                  <w:r>
                    <w:rPr>
                      <w:rFonts w:hint="eastAsia"/>
                      <w:color w:val="auto"/>
                      <w:szCs w:val="21"/>
                      <w:highlight w:val="none"/>
                    </w:rPr>
                    <w:t>100户</w:t>
                  </w:r>
                </w:p>
              </w:tc>
              <w:tc>
                <w:tcPr>
                  <w:tcW w:w="764" w:type="dxa"/>
                  <w:tcMar>
                    <w:left w:w="108" w:type="dxa"/>
                    <w:right w:w="108" w:type="dxa"/>
                  </w:tcMar>
                  <w:vAlign w:val="center"/>
                </w:tcPr>
                <w:p>
                  <w:pPr>
                    <w:snapToGrid w:val="0"/>
                    <w:jc w:val="center"/>
                    <w:rPr>
                      <w:rFonts w:hint="eastAsia"/>
                      <w:color w:val="auto"/>
                      <w:kern w:val="0"/>
                      <w:szCs w:val="21"/>
                      <w:highlight w:val="none"/>
                    </w:rPr>
                  </w:pPr>
                  <w:r>
                    <w:rPr>
                      <w:rFonts w:hint="eastAsia"/>
                      <w:color w:val="auto"/>
                      <w:szCs w:val="21"/>
                      <w:highlight w:val="none"/>
                    </w:rPr>
                    <w:t>83户</w:t>
                  </w:r>
                </w:p>
              </w:tc>
              <w:tc>
                <w:tcPr>
                  <w:tcW w:w="594" w:type="pct"/>
                  <w:tcMar>
                    <w:left w:w="108" w:type="dxa"/>
                    <w:right w:w="108" w:type="dxa"/>
                  </w:tcMar>
                  <w:vAlign w:val="center"/>
                </w:tcPr>
                <w:p>
                  <w:pPr>
                    <w:widowControl/>
                    <w:jc w:val="center"/>
                    <w:rPr>
                      <w:color w:val="auto"/>
                      <w:kern w:val="0"/>
                      <w:szCs w:val="21"/>
                      <w:highlight w:val="none"/>
                    </w:rPr>
                  </w:pPr>
                  <w:r>
                    <w:rPr>
                      <w:rFonts w:hint="eastAsia"/>
                      <w:color w:val="auto"/>
                      <w:kern w:val="0"/>
                      <w:szCs w:val="21"/>
                      <w:highlight w:val="none"/>
                    </w:rPr>
                    <w:t>钢筋混凝土结构、4层西侧朝向建筑，西侧朝扬东路西延。</w:t>
                  </w:r>
                </w:p>
              </w:tc>
            </w:tr>
          </w:tbl>
          <w:p>
            <w:pPr>
              <w:widowControl/>
              <w:rPr>
                <w:rFonts w:hint="eastAsia" w:eastAsia="宋体"/>
                <w:color w:val="auto"/>
                <w:sz w:val="24"/>
                <w:highlight w:val="none"/>
                <w:lang w:val="en-US" w:eastAsia="zh-CN"/>
              </w:rPr>
            </w:pPr>
            <w:r>
              <w:rPr>
                <w:rFonts w:hint="eastAsia" w:ascii="宋体" w:hAnsi="宋体" w:cs="宋体"/>
                <w:color w:val="auto"/>
                <w:kern w:val="0"/>
                <w:szCs w:val="21"/>
                <w:highlight w:val="none"/>
              </w:rPr>
              <w:t>备注：距离道路</w:t>
            </w:r>
            <w:r>
              <w:rPr>
                <w:rFonts w:hint="eastAsia" w:ascii="宋体" w:hAnsi="宋体" w:cs="宋体"/>
                <w:color w:val="auto"/>
                <w:kern w:val="0"/>
                <w:szCs w:val="21"/>
                <w:highlight w:val="none"/>
                <w:lang w:val="en-US" w:eastAsia="zh-CN"/>
              </w:rPr>
              <w:t>起点</w:t>
            </w:r>
            <w:r>
              <w:rPr>
                <w:rFonts w:hint="eastAsia" w:ascii="宋体" w:hAnsi="宋体" w:cs="宋体"/>
                <w:color w:val="auto"/>
                <w:kern w:val="0"/>
                <w:szCs w:val="21"/>
                <w:highlight w:val="none"/>
              </w:rPr>
              <w:t>中</w:t>
            </w:r>
            <w:r>
              <w:rPr>
                <w:rFonts w:hint="default" w:ascii="Times New Roman" w:hAnsi="Times New Roman" w:cs="Times New Roman"/>
                <w:color w:val="auto"/>
                <w:kern w:val="0"/>
                <w:szCs w:val="21"/>
                <w:highlight w:val="none"/>
              </w:rPr>
              <w:t>心线</w:t>
            </w:r>
            <w:r>
              <w:rPr>
                <w:rFonts w:hint="default" w:ascii="Times New Roman" w:hAnsi="Times New Roman" w:cs="Times New Roman"/>
                <w:color w:val="auto"/>
                <w:kern w:val="0"/>
                <w:szCs w:val="21"/>
                <w:highlight w:val="none"/>
                <w:lang w:val="en-US" w:eastAsia="zh-CN"/>
              </w:rPr>
              <w:t>75</w:t>
            </w:r>
            <w:r>
              <w:rPr>
                <w:rFonts w:hint="default" w:ascii="Times New Roman" w:hAnsi="Times New Roman" w:cs="Times New Roman"/>
                <w:color w:val="auto"/>
                <w:kern w:val="0"/>
                <w:szCs w:val="21"/>
                <w:highlight w:val="none"/>
              </w:rPr>
              <w:t>m</w:t>
            </w:r>
            <w:r>
              <w:rPr>
                <w:rFonts w:hint="default" w:ascii="Times New Roman" w:hAnsi="Times New Roman" w:cs="Times New Roman"/>
                <w:color w:val="auto"/>
                <w:kern w:val="0"/>
                <w:szCs w:val="21"/>
                <w:highlight w:val="none"/>
                <w:lang w:val="en-US" w:eastAsia="zh-CN"/>
              </w:rPr>
              <w:t>和155m</w:t>
            </w:r>
            <w:r>
              <w:rPr>
                <w:rFonts w:hint="eastAsia" w:cs="Times New Roman"/>
                <w:color w:val="auto"/>
                <w:kern w:val="0"/>
                <w:szCs w:val="21"/>
                <w:highlight w:val="none"/>
                <w:lang w:val="en-US" w:eastAsia="zh-CN"/>
              </w:rPr>
              <w:t>处</w:t>
            </w:r>
            <w:r>
              <w:rPr>
                <w:rFonts w:hint="default" w:ascii="Times New Roman" w:hAnsi="Times New Roman" w:cs="Times New Roman"/>
                <w:color w:val="auto"/>
                <w:kern w:val="0"/>
                <w:szCs w:val="21"/>
                <w:highlight w:val="none"/>
                <w:lang w:val="en-US" w:eastAsia="zh-CN"/>
              </w:rPr>
              <w:t>为道</w:t>
            </w:r>
            <w:r>
              <w:rPr>
                <w:rFonts w:hint="default" w:ascii="Times New Roman" w:hAnsi="Times New Roman" w:cs="Times New Roman"/>
                <w:color w:val="auto"/>
                <w:kern w:val="0"/>
                <w:szCs w:val="21"/>
                <w:highlight w:val="none"/>
              </w:rPr>
              <w:t>路东</w:t>
            </w:r>
            <w:r>
              <w:rPr>
                <w:rFonts w:hint="eastAsia" w:ascii="宋体" w:hAnsi="宋体" w:cs="宋体"/>
                <w:color w:val="auto"/>
                <w:kern w:val="0"/>
                <w:szCs w:val="21"/>
                <w:highlight w:val="none"/>
              </w:rPr>
              <w:t>北侧声环境保护目标。</w:t>
            </w:r>
          </w:p>
          <w:p>
            <w:pPr>
              <w:widowControl/>
              <w:spacing w:line="460" w:lineRule="exact"/>
              <w:ind w:firstLine="480" w:firstLineChars="200"/>
              <w:jc w:val="left"/>
              <w:rPr>
                <w:color w:val="auto"/>
                <w:sz w:val="24"/>
                <w:highlight w:val="none"/>
              </w:rPr>
            </w:pPr>
            <w:r>
              <w:rPr>
                <w:rFonts w:hint="eastAsia"/>
                <w:color w:val="auto"/>
                <w:sz w:val="24"/>
                <w:highlight w:val="none"/>
              </w:rPr>
              <w:t>3、地表水</w:t>
            </w:r>
            <w:r>
              <w:rPr>
                <w:color w:val="auto"/>
                <w:sz w:val="24"/>
                <w:highlight w:val="none"/>
              </w:rPr>
              <w:t>环境：本项目临近外塘河地表水体已纳入《江苏省地表水（环境）功能区划（2021-2030年）》（苏环办〔2022〕82号）Ⅳ水体标准。</w:t>
            </w:r>
          </w:p>
          <w:p>
            <w:pPr>
              <w:widowControl/>
              <w:spacing w:line="460" w:lineRule="exact"/>
              <w:ind w:firstLine="480" w:firstLineChars="200"/>
              <w:jc w:val="left"/>
              <w:rPr>
                <w:color w:val="auto"/>
                <w:sz w:val="24"/>
                <w:highlight w:val="none"/>
              </w:rPr>
            </w:pPr>
            <w:r>
              <w:rPr>
                <w:rFonts w:hint="eastAsia"/>
                <w:color w:val="auto"/>
                <w:sz w:val="24"/>
                <w:highlight w:val="none"/>
              </w:rPr>
              <w:t>地表水环境保护目标与本项目的位置关系详见下表。</w:t>
            </w:r>
          </w:p>
          <w:p>
            <w:pPr>
              <w:widowControl/>
              <w:spacing w:line="460" w:lineRule="atLeast"/>
              <w:ind w:firstLine="241"/>
              <w:jc w:val="center"/>
              <w:rPr>
                <w:b/>
                <w:bCs/>
                <w:color w:val="auto"/>
                <w:highlight w:val="none"/>
              </w:rPr>
            </w:pPr>
            <w:r>
              <w:rPr>
                <w:b/>
                <w:bCs/>
                <w:color w:val="auto"/>
                <w:highlight w:val="none"/>
              </w:rPr>
              <w:t>表3-</w:t>
            </w:r>
            <w:r>
              <w:rPr>
                <w:rFonts w:hint="eastAsia"/>
                <w:b/>
                <w:bCs/>
                <w:color w:val="auto"/>
                <w:highlight w:val="none"/>
              </w:rPr>
              <w:t>7</w:t>
            </w:r>
            <w:r>
              <w:rPr>
                <w:b/>
                <w:bCs/>
                <w:color w:val="auto"/>
                <w:highlight w:val="none"/>
              </w:rPr>
              <w:t>项目周边地表水环境保护目标</w:t>
            </w:r>
          </w:p>
          <w:tbl>
            <w:tblPr>
              <w:tblStyle w:val="18"/>
              <w:tblW w:w="512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613"/>
              <w:gridCol w:w="629"/>
              <w:gridCol w:w="736"/>
              <w:gridCol w:w="1349"/>
              <w:gridCol w:w="680"/>
              <w:gridCol w:w="939"/>
              <w:gridCol w:w="198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01" w:type="pct"/>
                  <w:vMerge w:val="restart"/>
                  <w:vAlign w:val="center"/>
                </w:tcPr>
                <w:p>
                  <w:pPr>
                    <w:jc w:val="center"/>
                    <w:rPr>
                      <w:b/>
                      <w:bCs/>
                      <w:color w:val="auto"/>
                      <w:highlight w:val="none"/>
                    </w:rPr>
                  </w:pPr>
                  <w:r>
                    <w:rPr>
                      <w:b/>
                      <w:bCs/>
                      <w:color w:val="auto"/>
                      <w:highlight w:val="none"/>
                    </w:rPr>
                    <w:t>保护</w:t>
                  </w:r>
                </w:p>
                <w:p>
                  <w:pPr>
                    <w:jc w:val="center"/>
                    <w:rPr>
                      <w:b/>
                      <w:bCs/>
                      <w:color w:val="auto"/>
                      <w:highlight w:val="none"/>
                    </w:rPr>
                  </w:pPr>
                  <w:r>
                    <w:rPr>
                      <w:b/>
                      <w:bCs/>
                      <w:color w:val="auto"/>
                      <w:highlight w:val="none"/>
                    </w:rPr>
                    <w:t>对象</w:t>
                  </w:r>
                </w:p>
              </w:tc>
              <w:tc>
                <w:tcPr>
                  <w:tcW w:w="2485" w:type="pct"/>
                  <w:gridSpan w:val="5"/>
                  <w:vAlign w:val="center"/>
                </w:tcPr>
                <w:p>
                  <w:pPr>
                    <w:jc w:val="center"/>
                    <w:rPr>
                      <w:b/>
                      <w:bCs/>
                      <w:color w:val="auto"/>
                      <w:highlight w:val="none"/>
                    </w:rPr>
                  </w:pPr>
                  <w:r>
                    <w:rPr>
                      <w:b/>
                      <w:bCs/>
                      <w:color w:val="auto"/>
                      <w:highlight w:val="none"/>
                    </w:rPr>
                    <w:t>相对</w:t>
                  </w:r>
                  <w:r>
                    <w:rPr>
                      <w:rFonts w:hint="eastAsia"/>
                      <w:b/>
                      <w:bCs/>
                      <w:color w:val="auto"/>
                      <w:highlight w:val="none"/>
                    </w:rPr>
                    <w:t>距离</w:t>
                  </w:r>
                  <w:r>
                    <w:rPr>
                      <w:b/>
                      <w:bCs/>
                      <w:color w:val="auto"/>
                      <w:highlight w:val="none"/>
                    </w:rPr>
                    <w:t>m</w:t>
                  </w:r>
                </w:p>
              </w:tc>
              <w:tc>
                <w:tcPr>
                  <w:tcW w:w="583" w:type="pct"/>
                  <w:vMerge w:val="restart"/>
                  <w:vAlign w:val="center"/>
                </w:tcPr>
                <w:p>
                  <w:pPr>
                    <w:jc w:val="center"/>
                    <w:rPr>
                      <w:color w:val="auto"/>
                      <w:highlight w:val="none"/>
                    </w:rPr>
                  </w:pPr>
                  <w:r>
                    <w:rPr>
                      <w:rFonts w:hint="eastAsia"/>
                      <w:b/>
                      <w:bCs/>
                      <w:color w:val="auto"/>
                      <w:highlight w:val="none"/>
                    </w:rPr>
                    <w:t>水环境功能区</w:t>
                  </w:r>
                </w:p>
              </w:tc>
              <w:tc>
                <w:tcPr>
                  <w:tcW w:w="1229" w:type="pct"/>
                  <w:vMerge w:val="restart"/>
                  <w:vAlign w:val="center"/>
                </w:tcPr>
                <w:p>
                  <w:pPr>
                    <w:jc w:val="center"/>
                    <w:rPr>
                      <w:b/>
                      <w:bCs/>
                      <w:color w:val="auto"/>
                      <w:highlight w:val="none"/>
                    </w:rPr>
                  </w:pPr>
                  <w:r>
                    <w:rPr>
                      <w:b/>
                      <w:bCs/>
                      <w:color w:val="auto"/>
                      <w:highlight w:val="none"/>
                    </w:rPr>
                    <w:t>与本项目</w:t>
                  </w:r>
                  <w:r>
                    <w:rPr>
                      <w:rFonts w:hint="eastAsia"/>
                      <w:b/>
                      <w:bCs/>
                      <w:color w:val="auto"/>
                      <w:highlight w:val="none"/>
                    </w:rPr>
                    <w:t>水力</w:t>
                  </w:r>
                  <w:r>
                    <w:rPr>
                      <w:b/>
                      <w:bCs/>
                      <w:color w:val="auto"/>
                      <w:highlight w:val="none"/>
                    </w:rPr>
                    <w:t>联系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1" w:type="pct"/>
                  <w:vMerge w:val="continue"/>
                  <w:vAlign w:val="center"/>
                </w:tcPr>
                <w:p>
                  <w:pPr>
                    <w:jc w:val="center"/>
                    <w:rPr>
                      <w:color w:val="auto"/>
                      <w:highlight w:val="none"/>
                    </w:rPr>
                  </w:pPr>
                </w:p>
              </w:tc>
              <w:tc>
                <w:tcPr>
                  <w:tcW w:w="770" w:type="pct"/>
                  <w:gridSpan w:val="2"/>
                  <w:vAlign w:val="center"/>
                </w:tcPr>
                <w:p>
                  <w:pPr>
                    <w:jc w:val="center"/>
                    <w:rPr>
                      <w:b/>
                      <w:bCs/>
                      <w:color w:val="auto"/>
                      <w:highlight w:val="none"/>
                    </w:rPr>
                  </w:pPr>
                  <w:r>
                    <w:rPr>
                      <w:b/>
                      <w:bCs/>
                      <w:color w:val="auto"/>
                      <w:highlight w:val="none"/>
                    </w:rPr>
                    <w:t>坐标</w:t>
                  </w:r>
                </w:p>
              </w:tc>
              <w:tc>
                <w:tcPr>
                  <w:tcW w:w="456" w:type="pct"/>
                  <w:vMerge w:val="restart"/>
                  <w:vAlign w:val="center"/>
                </w:tcPr>
                <w:p>
                  <w:pPr>
                    <w:jc w:val="center"/>
                    <w:rPr>
                      <w:b/>
                      <w:bCs/>
                      <w:color w:val="auto"/>
                      <w:highlight w:val="none"/>
                    </w:rPr>
                  </w:pPr>
                  <w:r>
                    <w:rPr>
                      <w:b/>
                      <w:bCs/>
                      <w:color w:val="auto"/>
                      <w:highlight w:val="none"/>
                    </w:rPr>
                    <w:t>高差</w:t>
                  </w:r>
                </w:p>
              </w:tc>
              <w:tc>
                <w:tcPr>
                  <w:tcW w:w="837" w:type="pct"/>
                  <w:vMerge w:val="restart"/>
                  <w:vAlign w:val="center"/>
                </w:tcPr>
                <w:p>
                  <w:pPr>
                    <w:jc w:val="center"/>
                    <w:rPr>
                      <w:b/>
                      <w:bCs/>
                      <w:color w:val="auto"/>
                      <w:highlight w:val="none"/>
                    </w:rPr>
                  </w:pPr>
                  <w:r>
                    <w:rPr>
                      <w:b/>
                      <w:bCs/>
                      <w:color w:val="auto"/>
                      <w:highlight w:val="none"/>
                    </w:rPr>
                    <w:t>距离</w:t>
                  </w:r>
                </w:p>
              </w:tc>
              <w:tc>
                <w:tcPr>
                  <w:tcW w:w="420" w:type="pct"/>
                  <w:vMerge w:val="restart"/>
                  <w:vAlign w:val="center"/>
                </w:tcPr>
                <w:p>
                  <w:pPr>
                    <w:jc w:val="center"/>
                    <w:rPr>
                      <w:b/>
                      <w:bCs/>
                      <w:color w:val="auto"/>
                      <w:highlight w:val="none"/>
                    </w:rPr>
                  </w:pPr>
                  <w:r>
                    <w:rPr>
                      <w:rFonts w:hint="eastAsia"/>
                      <w:b/>
                      <w:bCs/>
                      <w:color w:val="auto"/>
                      <w:highlight w:val="none"/>
                    </w:rPr>
                    <w:t>方位</w:t>
                  </w:r>
                </w:p>
              </w:tc>
              <w:tc>
                <w:tcPr>
                  <w:tcW w:w="583" w:type="pct"/>
                  <w:vMerge w:val="continue"/>
                  <w:vAlign w:val="center"/>
                </w:tcPr>
                <w:p>
                  <w:pPr>
                    <w:jc w:val="center"/>
                    <w:rPr>
                      <w:color w:val="auto"/>
                      <w:highlight w:val="none"/>
                    </w:rPr>
                  </w:pPr>
                </w:p>
              </w:tc>
              <w:tc>
                <w:tcPr>
                  <w:tcW w:w="1229" w:type="pct"/>
                  <w:vMerge w:val="continue"/>
                  <w:vAlign w:val="center"/>
                </w:tcPr>
                <w:p>
                  <w:pPr>
                    <w:jc w:val="center"/>
                    <w:rPr>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701" w:type="pct"/>
                  <w:vMerge w:val="continue"/>
                  <w:vAlign w:val="center"/>
                </w:tcPr>
                <w:p>
                  <w:pPr>
                    <w:jc w:val="center"/>
                    <w:rPr>
                      <w:color w:val="auto"/>
                      <w:highlight w:val="none"/>
                    </w:rPr>
                  </w:pPr>
                </w:p>
              </w:tc>
              <w:tc>
                <w:tcPr>
                  <w:tcW w:w="380" w:type="pct"/>
                  <w:vAlign w:val="center"/>
                </w:tcPr>
                <w:p>
                  <w:pPr>
                    <w:jc w:val="center"/>
                    <w:rPr>
                      <w:b/>
                      <w:bCs/>
                      <w:color w:val="auto"/>
                      <w:highlight w:val="none"/>
                    </w:rPr>
                  </w:pPr>
                  <w:r>
                    <w:rPr>
                      <w:rFonts w:hint="eastAsia"/>
                      <w:b/>
                      <w:bCs/>
                      <w:color w:val="auto"/>
                      <w:highlight w:val="none"/>
                    </w:rPr>
                    <w:t>X</w:t>
                  </w:r>
                </w:p>
              </w:tc>
              <w:tc>
                <w:tcPr>
                  <w:tcW w:w="389" w:type="pct"/>
                  <w:vAlign w:val="center"/>
                </w:tcPr>
                <w:p>
                  <w:pPr>
                    <w:jc w:val="center"/>
                    <w:rPr>
                      <w:b/>
                      <w:bCs/>
                      <w:color w:val="auto"/>
                      <w:highlight w:val="none"/>
                    </w:rPr>
                  </w:pPr>
                  <w:r>
                    <w:rPr>
                      <w:b/>
                      <w:bCs/>
                      <w:color w:val="auto"/>
                      <w:highlight w:val="none"/>
                    </w:rPr>
                    <w:t>Y</w:t>
                  </w:r>
                </w:p>
              </w:tc>
              <w:tc>
                <w:tcPr>
                  <w:tcW w:w="456" w:type="pct"/>
                  <w:vMerge w:val="continue"/>
                  <w:vAlign w:val="center"/>
                </w:tcPr>
                <w:p>
                  <w:pPr>
                    <w:jc w:val="center"/>
                    <w:rPr>
                      <w:b/>
                      <w:bCs/>
                      <w:color w:val="auto"/>
                      <w:highlight w:val="none"/>
                    </w:rPr>
                  </w:pPr>
                </w:p>
              </w:tc>
              <w:tc>
                <w:tcPr>
                  <w:tcW w:w="837" w:type="pct"/>
                  <w:vMerge w:val="continue"/>
                  <w:vAlign w:val="center"/>
                </w:tcPr>
                <w:p>
                  <w:pPr>
                    <w:jc w:val="center"/>
                    <w:rPr>
                      <w:b/>
                      <w:bCs/>
                      <w:color w:val="auto"/>
                      <w:highlight w:val="none"/>
                    </w:rPr>
                  </w:pPr>
                </w:p>
              </w:tc>
              <w:tc>
                <w:tcPr>
                  <w:tcW w:w="420" w:type="pct"/>
                  <w:vMerge w:val="continue"/>
                  <w:vAlign w:val="center"/>
                </w:tcPr>
                <w:p>
                  <w:pPr>
                    <w:jc w:val="center"/>
                    <w:rPr>
                      <w:b/>
                      <w:bCs/>
                      <w:color w:val="auto"/>
                      <w:highlight w:val="none"/>
                    </w:rPr>
                  </w:pPr>
                </w:p>
              </w:tc>
              <w:tc>
                <w:tcPr>
                  <w:tcW w:w="583" w:type="pct"/>
                  <w:vMerge w:val="continue"/>
                  <w:vAlign w:val="center"/>
                </w:tcPr>
                <w:p>
                  <w:pPr>
                    <w:jc w:val="center"/>
                    <w:rPr>
                      <w:color w:val="auto"/>
                      <w:highlight w:val="none"/>
                    </w:rPr>
                  </w:pPr>
                </w:p>
              </w:tc>
              <w:tc>
                <w:tcPr>
                  <w:tcW w:w="1229" w:type="pct"/>
                  <w:vMerge w:val="continue"/>
                  <w:vAlign w:val="center"/>
                </w:tcPr>
                <w:p>
                  <w:pPr>
                    <w:jc w:val="center"/>
                    <w:rPr>
                      <w:color w:val="auto"/>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01" w:type="pct"/>
                  <w:vAlign w:val="center"/>
                </w:tcPr>
                <w:p>
                  <w:pPr>
                    <w:widowControl/>
                    <w:spacing w:line="360" w:lineRule="atLeast"/>
                    <w:jc w:val="center"/>
                    <w:rPr>
                      <w:color w:val="auto"/>
                      <w:kern w:val="0"/>
                      <w:szCs w:val="21"/>
                      <w:highlight w:val="none"/>
                    </w:rPr>
                  </w:pPr>
                  <w:r>
                    <w:rPr>
                      <w:rFonts w:hint="eastAsia"/>
                      <w:color w:val="auto"/>
                      <w:kern w:val="0"/>
                      <w:szCs w:val="21"/>
                      <w:highlight w:val="none"/>
                    </w:rPr>
                    <w:t>外塘河</w:t>
                  </w:r>
                </w:p>
              </w:tc>
              <w:tc>
                <w:tcPr>
                  <w:tcW w:w="380" w:type="pct"/>
                  <w:vAlign w:val="center"/>
                </w:tcPr>
                <w:p>
                  <w:pPr>
                    <w:widowControl/>
                    <w:spacing w:line="360" w:lineRule="atLeast"/>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-155</w:t>
                  </w:r>
                </w:p>
              </w:tc>
              <w:tc>
                <w:tcPr>
                  <w:tcW w:w="389" w:type="pct"/>
                  <w:vAlign w:val="center"/>
                </w:tcPr>
                <w:p>
                  <w:pPr>
                    <w:widowControl/>
                    <w:spacing w:line="360" w:lineRule="atLeast"/>
                    <w:jc w:val="center"/>
                    <w:rPr>
                      <w:color w:val="auto"/>
                      <w:kern w:val="0"/>
                      <w:szCs w:val="21"/>
                      <w:highlight w:val="none"/>
                    </w:rPr>
                  </w:pPr>
                  <w:r>
                    <w:rPr>
                      <w:rFonts w:hint="eastAsia"/>
                      <w:color w:val="auto"/>
                      <w:kern w:val="0"/>
                      <w:szCs w:val="21"/>
                      <w:highlight w:val="none"/>
                    </w:rPr>
                    <w:t>0</w:t>
                  </w:r>
                </w:p>
              </w:tc>
              <w:tc>
                <w:tcPr>
                  <w:tcW w:w="456" w:type="pct"/>
                  <w:vAlign w:val="center"/>
                </w:tcPr>
                <w:p>
                  <w:pPr>
                    <w:widowControl/>
                    <w:spacing w:line="360" w:lineRule="atLeast"/>
                    <w:jc w:val="center"/>
                    <w:rPr>
                      <w:color w:val="auto"/>
                      <w:kern w:val="0"/>
                      <w:szCs w:val="21"/>
                      <w:highlight w:val="none"/>
                    </w:rPr>
                  </w:pPr>
                  <w:r>
                    <w:rPr>
                      <w:rFonts w:hint="eastAsia"/>
                      <w:color w:val="auto"/>
                      <w:kern w:val="0"/>
                      <w:szCs w:val="21"/>
                      <w:highlight w:val="none"/>
                    </w:rPr>
                    <w:t>0</w:t>
                  </w:r>
                </w:p>
              </w:tc>
              <w:tc>
                <w:tcPr>
                  <w:tcW w:w="837" w:type="pct"/>
                  <w:vAlign w:val="center"/>
                </w:tcPr>
                <w:p>
                  <w:pPr>
                    <w:widowControl/>
                    <w:spacing w:line="360" w:lineRule="atLeast"/>
                    <w:jc w:val="center"/>
                    <w:rPr>
                      <w:color w:val="auto"/>
                      <w:kern w:val="0"/>
                      <w:szCs w:val="21"/>
                      <w:highlight w:val="none"/>
                    </w:rPr>
                  </w:pPr>
                  <w:r>
                    <w:rPr>
                      <w:rFonts w:hint="eastAsia"/>
                      <w:color w:val="auto"/>
                      <w:kern w:val="0"/>
                      <w:szCs w:val="21"/>
                      <w:highlight w:val="none"/>
                    </w:rPr>
                    <w:t>0</w:t>
                  </w:r>
                </w:p>
              </w:tc>
              <w:tc>
                <w:tcPr>
                  <w:tcW w:w="420" w:type="pct"/>
                  <w:vAlign w:val="center"/>
                </w:tcPr>
                <w:p>
                  <w:pPr>
                    <w:widowControl/>
                    <w:spacing w:line="360" w:lineRule="atLeast"/>
                    <w:jc w:val="center"/>
                    <w:rPr>
                      <w:color w:val="auto"/>
                      <w:kern w:val="0"/>
                      <w:szCs w:val="21"/>
                      <w:highlight w:val="none"/>
                    </w:rPr>
                  </w:pPr>
                  <w:r>
                    <w:rPr>
                      <w:rFonts w:hint="eastAsia"/>
                      <w:color w:val="auto"/>
                      <w:kern w:val="0"/>
                      <w:szCs w:val="21"/>
                      <w:highlight w:val="none"/>
                    </w:rPr>
                    <w:t>/</w:t>
                  </w:r>
                </w:p>
              </w:tc>
              <w:tc>
                <w:tcPr>
                  <w:tcW w:w="583" w:type="pct"/>
                  <w:vAlign w:val="center"/>
                </w:tcPr>
                <w:p>
                  <w:pPr>
                    <w:spacing w:line="320" w:lineRule="exact"/>
                    <w:jc w:val="center"/>
                    <w:rPr>
                      <w:color w:val="auto"/>
                      <w:kern w:val="0"/>
                      <w:szCs w:val="21"/>
                      <w:highlight w:val="none"/>
                    </w:rPr>
                  </w:pPr>
                  <w:r>
                    <w:rPr>
                      <w:color w:val="auto"/>
                      <w:szCs w:val="21"/>
                      <w:highlight w:val="none"/>
                    </w:rPr>
                    <w:t>Ⅳ类</w:t>
                  </w:r>
                </w:p>
              </w:tc>
              <w:tc>
                <w:tcPr>
                  <w:tcW w:w="1229" w:type="pct"/>
                  <w:vAlign w:val="center"/>
                </w:tcPr>
                <w:p>
                  <w:pPr>
                    <w:widowControl/>
                    <w:spacing w:line="360" w:lineRule="atLeast"/>
                    <w:jc w:val="center"/>
                    <w:rPr>
                      <w:color w:val="auto"/>
                      <w:kern w:val="0"/>
                      <w:szCs w:val="21"/>
                      <w:highlight w:val="none"/>
                    </w:rPr>
                  </w:pPr>
                  <w:r>
                    <w:rPr>
                      <w:rFonts w:hint="eastAsia"/>
                      <w:color w:val="auto"/>
                      <w:kern w:val="0"/>
                      <w:szCs w:val="21"/>
                      <w:highlight w:val="none"/>
                    </w:rPr>
                    <w:t>本项目横跨</w:t>
                  </w:r>
                </w:p>
              </w:tc>
            </w:tr>
          </w:tbl>
          <w:p>
            <w:pPr>
              <w:widowControl/>
              <w:rPr>
                <w:rFonts w:ascii="宋体" w:hAnsi="宋体" w:cs="宋体"/>
                <w:color w:val="auto"/>
                <w:kern w:val="0"/>
                <w:szCs w:val="21"/>
                <w:highlight w:val="none"/>
              </w:rPr>
            </w:pPr>
            <w:r>
              <w:rPr>
                <w:rFonts w:hint="eastAsia" w:ascii="宋体" w:hAnsi="宋体" w:cs="宋体"/>
                <w:color w:val="auto"/>
                <w:kern w:val="0"/>
                <w:szCs w:val="21"/>
                <w:highlight w:val="none"/>
              </w:rPr>
              <w:t>备注：坐标原点位于道路</w:t>
            </w:r>
            <w:r>
              <w:rPr>
                <w:rFonts w:hint="eastAsia" w:ascii="宋体" w:hAnsi="宋体" w:cs="宋体"/>
                <w:color w:val="auto"/>
                <w:kern w:val="0"/>
                <w:szCs w:val="21"/>
                <w:highlight w:val="none"/>
                <w:lang w:val="en-US" w:eastAsia="zh-CN"/>
              </w:rPr>
              <w:t>终点</w:t>
            </w:r>
            <w:r>
              <w:rPr>
                <w:rFonts w:hint="eastAsia" w:ascii="宋体" w:hAnsi="宋体" w:cs="宋体"/>
                <w:color w:val="auto"/>
                <w:kern w:val="0"/>
                <w:szCs w:val="21"/>
                <w:highlight w:val="none"/>
              </w:rPr>
              <w:t>中央，其经纬度为（E120°65′17.037″，N31°34′05.95″）。</w:t>
            </w:r>
          </w:p>
          <w:p>
            <w:pPr>
              <w:spacing w:line="360" w:lineRule="auto"/>
              <w:ind w:firstLine="480" w:firstLineChars="200"/>
              <w:rPr>
                <w:bCs/>
                <w:color w:val="auto"/>
                <w:sz w:val="24"/>
                <w:highlight w:val="none"/>
              </w:rPr>
            </w:pPr>
            <w:r>
              <w:rPr>
                <w:rFonts w:hint="eastAsia"/>
                <w:bCs/>
                <w:color w:val="auto"/>
                <w:sz w:val="24"/>
                <w:highlight w:val="none"/>
              </w:rPr>
              <w:t>4、生态环境：根据《省政府关于印发江苏省生态空间管控区域规划的通知》（苏政发〔2020〕1号）、《江苏省国家级生态保护红线规划》（苏政发[2018]74号）、《苏州工业园区2022年度生态空间管控区域调整方案》，项目所在地不属于江苏省生态空间管控区域及国家级生态保护红线规划区域。</w:t>
            </w:r>
          </w:p>
          <w:p>
            <w:pPr>
              <w:widowControl/>
              <w:spacing w:line="460" w:lineRule="atLeast"/>
              <w:ind w:firstLine="241"/>
              <w:jc w:val="center"/>
              <w:rPr>
                <w:color w:val="auto"/>
                <w:kern w:val="0"/>
                <w:szCs w:val="21"/>
                <w:highlight w:val="none"/>
              </w:rPr>
            </w:pPr>
            <w:r>
              <w:rPr>
                <w:b/>
                <w:color w:val="auto"/>
                <w:kern w:val="0"/>
                <w:szCs w:val="21"/>
                <w:highlight w:val="none"/>
              </w:rPr>
              <w:t>表3-</w:t>
            </w:r>
            <w:r>
              <w:rPr>
                <w:rFonts w:hint="eastAsia"/>
                <w:b/>
                <w:color w:val="auto"/>
                <w:kern w:val="0"/>
                <w:szCs w:val="21"/>
                <w:highlight w:val="none"/>
              </w:rPr>
              <w:t>8</w:t>
            </w:r>
            <w:r>
              <w:rPr>
                <w:rFonts w:hint="eastAsia" w:ascii="宋体" w:hAnsi="宋体" w:cs="宋体"/>
                <w:b/>
                <w:color w:val="auto"/>
                <w:kern w:val="0"/>
                <w:szCs w:val="21"/>
                <w:highlight w:val="none"/>
              </w:rPr>
              <w:t>生态环境保护目标表</w:t>
            </w:r>
          </w:p>
          <w:tbl>
            <w:tblPr>
              <w:tblStyle w:val="18"/>
              <w:tblW w:w="791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1120"/>
              <w:gridCol w:w="3259"/>
              <w:gridCol w:w="1268"/>
              <w:gridCol w:w="5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710" w:type="dxa"/>
                  <w:vAlign w:val="center"/>
                </w:tcPr>
                <w:p>
                  <w:pPr>
                    <w:spacing w:line="300" w:lineRule="exact"/>
                    <w:jc w:val="center"/>
                    <w:rPr>
                      <w:b/>
                      <w:bCs/>
                      <w:color w:val="auto"/>
                      <w:szCs w:val="21"/>
                      <w:highlight w:val="none"/>
                    </w:rPr>
                  </w:pPr>
                  <w:r>
                    <w:rPr>
                      <w:b/>
                      <w:bCs/>
                      <w:color w:val="auto"/>
                      <w:szCs w:val="21"/>
                      <w:highlight w:val="none"/>
                    </w:rPr>
                    <w:t>环境保护对象</w:t>
                  </w:r>
                </w:p>
              </w:tc>
              <w:tc>
                <w:tcPr>
                  <w:tcW w:w="1120" w:type="dxa"/>
                  <w:vAlign w:val="center"/>
                </w:tcPr>
                <w:p>
                  <w:pPr>
                    <w:spacing w:line="300" w:lineRule="exact"/>
                    <w:jc w:val="center"/>
                    <w:rPr>
                      <w:b/>
                      <w:bCs/>
                      <w:color w:val="auto"/>
                      <w:szCs w:val="21"/>
                      <w:highlight w:val="none"/>
                    </w:rPr>
                  </w:pPr>
                  <w:r>
                    <w:rPr>
                      <w:rFonts w:hint="eastAsia"/>
                      <w:b/>
                      <w:bCs/>
                      <w:color w:val="auto"/>
                      <w:szCs w:val="21"/>
                      <w:highlight w:val="none"/>
                    </w:rPr>
                    <w:t>主导生态</w:t>
                  </w:r>
                  <w:r>
                    <w:rPr>
                      <w:b/>
                      <w:bCs/>
                      <w:color w:val="auto"/>
                      <w:szCs w:val="21"/>
                      <w:highlight w:val="none"/>
                    </w:rPr>
                    <w:t>功能</w:t>
                  </w:r>
                </w:p>
              </w:tc>
              <w:tc>
                <w:tcPr>
                  <w:tcW w:w="3259" w:type="dxa"/>
                  <w:vAlign w:val="center"/>
                </w:tcPr>
                <w:p>
                  <w:pPr>
                    <w:spacing w:line="300" w:lineRule="exact"/>
                    <w:jc w:val="center"/>
                    <w:rPr>
                      <w:b/>
                      <w:bCs/>
                      <w:color w:val="auto"/>
                      <w:szCs w:val="21"/>
                      <w:highlight w:val="none"/>
                    </w:rPr>
                  </w:pPr>
                  <w:r>
                    <w:rPr>
                      <w:rFonts w:hint="eastAsia"/>
                      <w:b/>
                      <w:bCs/>
                      <w:color w:val="auto"/>
                      <w:szCs w:val="21"/>
                      <w:highlight w:val="none"/>
                    </w:rPr>
                    <w:t>国家级生态保护红线/生态空间管控区域范围</w:t>
                  </w:r>
                </w:p>
              </w:tc>
              <w:tc>
                <w:tcPr>
                  <w:tcW w:w="1268" w:type="dxa"/>
                  <w:vAlign w:val="center"/>
                </w:tcPr>
                <w:p>
                  <w:pPr>
                    <w:spacing w:line="300" w:lineRule="exact"/>
                    <w:jc w:val="center"/>
                    <w:rPr>
                      <w:b/>
                      <w:bCs/>
                      <w:color w:val="auto"/>
                      <w:szCs w:val="21"/>
                      <w:highlight w:val="none"/>
                    </w:rPr>
                  </w:pPr>
                  <w:r>
                    <w:rPr>
                      <w:b/>
                      <w:bCs/>
                      <w:color w:val="auto"/>
                      <w:szCs w:val="21"/>
                      <w:highlight w:val="none"/>
                    </w:rPr>
                    <w:t>距道路红线距离</w:t>
                  </w:r>
                  <w:r>
                    <w:rPr>
                      <w:rFonts w:hint="eastAsia"/>
                      <w:b/>
                      <w:bCs/>
                      <w:color w:val="auto"/>
                      <w:szCs w:val="21"/>
                      <w:highlight w:val="none"/>
                    </w:rPr>
                    <w:t>（m）</w:t>
                  </w:r>
                </w:p>
              </w:tc>
              <w:tc>
                <w:tcPr>
                  <w:tcW w:w="561" w:type="dxa"/>
                  <w:vAlign w:val="center"/>
                </w:tcPr>
                <w:p>
                  <w:pPr>
                    <w:spacing w:line="300" w:lineRule="exact"/>
                    <w:jc w:val="center"/>
                    <w:rPr>
                      <w:b/>
                      <w:bCs/>
                      <w:color w:val="auto"/>
                      <w:szCs w:val="21"/>
                      <w:highlight w:val="none"/>
                    </w:rPr>
                  </w:pPr>
                  <w:r>
                    <w:rPr>
                      <w:b/>
                      <w:bCs/>
                      <w:color w:val="auto"/>
                      <w:szCs w:val="21"/>
                      <w:highlight w:val="none"/>
                    </w:rPr>
                    <w:t>方位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710" w:type="dxa"/>
                  <w:vAlign w:val="center"/>
                </w:tcPr>
                <w:p>
                  <w:pPr>
                    <w:spacing w:line="300" w:lineRule="exact"/>
                    <w:jc w:val="center"/>
                    <w:rPr>
                      <w:color w:val="auto"/>
                      <w:szCs w:val="21"/>
                      <w:highlight w:val="none"/>
                    </w:rPr>
                  </w:pPr>
                  <w:r>
                    <w:rPr>
                      <w:rFonts w:hint="eastAsia"/>
                      <w:color w:val="auto"/>
                      <w:szCs w:val="21"/>
                      <w:highlight w:val="none"/>
                    </w:rPr>
                    <w:t>金鸡湖重要湿地</w:t>
                  </w:r>
                </w:p>
              </w:tc>
              <w:tc>
                <w:tcPr>
                  <w:tcW w:w="1120" w:type="dxa"/>
                  <w:vAlign w:val="center"/>
                </w:tcPr>
                <w:p>
                  <w:pPr>
                    <w:spacing w:line="300" w:lineRule="exact"/>
                    <w:jc w:val="center"/>
                    <w:rPr>
                      <w:color w:val="auto"/>
                      <w:szCs w:val="21"/>
                      <w:highlight w:val="none"/>
                    </w:rPr>
                  </w:pPr>
                  <w:r>
                    <w:rPr>
                      <w:rFonts w:hint="eastAsia"/>
                      <w:color w:val="auto"/>
                      <w:szCs w:val="21"/>
                      <w:highlight w:val="none"/>
                    </w:rPr>
                    <w:t>湿地生态系统保护</w:t>
                  </w:r>
                </w:p>
              </w:tc>
              <w:tc>
                <w:tcPr>
                  <w:tcW w:w="3259" w:type="dxa"/>
                  <w:vAlign w:val="center"/>
                </w:tcPr>
                <w:p>
                  <w:pPr>
                    <w:spacing w:line="300" w:lineRule="exact"/>
                    <w:jc w:val="center"/>
                    <w:rPr>
                      <w:color w:val="auto"/>
                      <w:szCs w:val="21"/>
                      <w:highlight w:val="none"/>
                    </w:rPr>
                  </w:pPr>
                  <w:r>
                    <w:rPr>
                      <w:rFonts w:hint="eastAsia"/>
                      <w:color w:val="auto"/>
                      <w:szCs w:val="21"/>
                      <w:highlight w:val="none"/>
                    </w:rPr>
                    <w:t>金鸡湖水体范围</w:t>
                  </w:r>
                </w:p>
              </w:tc>
              <w:tc>
                <w:tcPr>
                  <w:tcW w:w="1268" w:type="dxa"/>
                  <w:vAlign w:val="center"/>
                </w:tcPr>
                <w:p>
                  <w:pPr>
                    <w:spacing w:line="300" w:lineRule="exact"/>
                    <w:jc w:val="center"/>
                    <w:rPr>
                      <w:color w:val="auto"/>
                      <w:szCs w:val="21"/>
                      <w:highlight w:val="none"/>
                    </w:rPr>
                  </w:pPr>
                  <w:r>
                    <w:rPr>
                      <w:rFonts w:hint="eastAsia"/>
                      <w:color w:val="auto"/>
                      <w:szCs w:val="21"/>
                      <w:highlight w:val="none"/>
                    </w:rPr>
                    <w:t>3500</w:t>
                  </w:r>
                </w:p>
              </w:tc>
              <w:tc>
                <w:tcPr>
                  <w:tcW w:w="561" w:type="dxa"/>
                  <w:vAlign w:val="center"/>
                </w:tcPr>
                <w:p>
                  <w:pPr>
                    <w:spacing w:line="300" w:lineRule="exact"/>
                    <w:jc w:val="center"/>
                    <w:rPr>
                      <w:color w:val="auto"/>
                      <w:szCs w:val="21"/>
                      <w:highlight w:val="none"/>
                    </w:rPr>
                  </w:pPr>
                  <w:r>
                    <w:rPr>
                      <w:rFonts w:hint="eastAsia"/>
                      <w:color w:val="auto"/>
                      <w:szCs w:val="21"/>
                      <w:highlight w:val="none"/>
                    </w:rPr>
                    <w:t>SE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710" w:type="dxa"/>
                  <w:vAlign w:val="center"/>
                </w:tcPr>
                <w:p>
                  <w:pPr>
                    <w:spacing w:line="300" w:lineRule="exact"/>
                    <w:jc w:val="center"/>
                    <w:rPr>
                      <w:color w:val="auto"/>
                      <w:szCs w:val="21"/>
                      <w:highlight w:val="none"/>
                    </w:rPr>
                  </w:pPr>
                  <w:r>
                    <w:rPr>
                      <w:rFonts w:hint="eastAsia"/>
                      <w:color w:val="auto"/>
                      <w:szCs w:val="21"/>
                      <w:highlight w:val="none"/>
                    </w:rPr>
                    <w:t>独墅湖重要湿地</w:t>
                  </w:r>
                </w:p>
              </w:tc>
              <w:tc>
                <w:tcPr>
                  <w:tcW w:w="1120" w:type="dxa"/>
                  <w:vAlign w:val="center"/>
                </w:tcPr>
                <w:p>
                  <w:pPr>
                    <w:spacing w:line="300" w:lineRule="exact"/>
                    <w:jc w:val="center"/>
                    <w:rPr>
                      <w:color w:val="auto"/>
                      <w:szCs w:val="21"/>
                      <w:highlight w:val="none"/>
                    </w:rPr>
                  </w:pPr>
                  <w:r>
                    <w:rPr>
                      <w:rFonts w:hint="eastAsia"/>
                      <w:color w:val="auto"/>
                      <w:szCs w:val="21"/>
                      <w:highlight w:val="none"/>
                    </w:rPr>
                    <w:t>湿地生态系统保护</w:t>
                  </w:r>
                </w:p>
              </w:tc>
              <w:tc>
                <w:tcPr>
                  <w:tcW w:w="3259" w:type="dxa"/>
                  <w:vAlign w:val="center"/>
                </w:tcPr>
                <w:p>
                  <w:pPr>
                    <w:spacing w:line="300" w:lineRule="exact"/>
                    <w:jc w:val="center"/>
                    <w:rPr>
                      <w:color w:val="auto"/>
                      <w:szCs w:val="21"/>
                      <w:highlight w:val="none"/>
                    </w:rPr>
                  </w:pPr>
                  <w:r>
                    <w:rPr>
                      <w:rFonts w:hint="eastAsia"/>
                      <w:color w:val="auto"/>
                      <w:szCs w:val="21"/>
                      <w:highlight w:val="none"/>
                    </w:rPr>
                    <w:t>独墅湖水体范围</w:t>
                  </w:r>
                </w:p>
              </w:tc>
              <w:tc>
                <w:tcPr>
                  <w:tcW w:w="1268" w:type="dxa"/>
                  <w:vAlign w:val="center"/>
                </w:tcPr>
                <w:p>
                  <w:pPr>
                    <w:spacing w:line="300" w:lineRule="exact"/>
                    <w:jc w:val="center"/>
                    <w:rPr>
                      <w:color w:val="auto"/>
                      <w:szCs w:val="21"/>
                      <w:highlight w:val="none"/>
                    </w:rPr>
                  </w:pPr>
                  <w:r>
                    <w:rPr>
                      <w:rFonts w:hint="eastAsia"/>
                      <w:color w:val="auto"/>
                      <w:szCs w:val="21"/>
                      <w:highlight w:val="none"/>
                    </w:rPr>
                    <w:t>5400</w:t>
                  </w:r>
                </w:p>
              </w:tc>
              <w:tc>
                <w:tcPr>
                  <w:tcW w:w="561" w:type="dxa"/>
                  <w:vAlign w:val="center"/>
                </w:tcPr>
                <w:p>
                  <w:pPr>
                    <w:spacing w:line="300" w:lineRule="exact"/>
                    <w:jc w:val="center"/>
                    <w:rPr>
                      <w:color w:val="auto"/>
                      <w:szCs w:val="21"/>
                      <w:highlight w:val="none"/>
                    </w:rPr>
                  </w:pPr>
                  <w:r>
                    <w:rPr>
                      <w:rFonts w:hint="eastAsia"/>
                      <w:color w:val="auto"/>
                      <w:szCs w:val="21"/>
                      <w:highlight w:val="none"/>
                    </w:rPr>
                    <w:t>SE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710" w:type="dxa"/>
                  <w:vAlign w:val="center"/>
                </w:tcPr>
                <w:p>
                  <w:pPr>
                    <w:spacing w:line="300" w:lineRule="exact"/>
                    <w:jc w:val="center"/>
                    <w:rPr>
                      <w:color w:val="auto"/>
                      <w:szCs w:val="21"/>
                      <w:highlight w:val="none"/>
                    </w:rPr>
                  </w:pPr>
                  <w:r>
                    <w:rPr>
                      <w:rFonts w:hint="eastAsia"/>
                      <w:color w:val="auto"/>
                      <w:szCs w:val="21"/>
                      <w:highlight w:val="none"/>
                    </w:rPr>
                    <w:t>吴淞江重要湿地</w:t>
                  </w:r>
                </w:p>
              </w:tc>
              <w:tc>
                <w:tcPr>
                  <w:tcW w:w="1120" w:type="dxa"/>
                  <w:vAlign w:val="center"/>
                </w:tcPr>
                <w:p>
                  <w:pPr>
                    <w:spacing w:line="300" w:lineRule="exact"/>
                    <w:jc w:val="center"/>
                    <w:rPr>
                      <w:color w:val="auto"/>
                      <w:szCs w:val="21"/>
                      <w:highlight w:val="none"/>
                    </w:rPr>
                  </w:pPr>
                  <w:r>
                    <w:rPr>
                      <w:rFonts w:hint="eastAsia"/>
                      <w:color w:val="auto"/>
                      <w:szCs w:val="21"/>
                      <w:highlight w:val="none"/>
                    </w:rPr>
                    <w:t>湿地生态系统保护</w:t>
                  </w:r>
                </w:p>
              </w:tc>
              <w:tc>
                <w:tcPr>
                  <w:tcW w:w="3259" w:type="dxa"/>
                  <w:vAlign w:val="center"/>
                </w:tcPr>
                <w:p>
                  <w:pPr>
                    <w:spacing w:line="300" w:lineRule="exact"/>
                    <w:jc w:val="center"/>
                    <w:rPr>
                      <w:color w:val="auto"/>
                      <w:szCs w:val="21"/>
                      <w:highlight w:val="none"/>
                    </w:rPr>
                  </w:pPr>
                  <w:r>
                    <w:rPr>
                      <w:rFonts w:hint="eastAsia"/>
                      <w:color w:val="auto"/>
                      <w:szCs w:val="21"/>
                      <w:highlight w:val="none"/>
                    </w:rPr>
                    <w:t>苏州工业园区内，吴淞江水体范围</w:t>
                  </w:r>
                </w:p>
              </w:tc>
              <w:tc>
                <w:tcPr>
                  <w:tcW w:w="1268" w:type="dxa"/>
                  <w:vAlign w:val="center"/>
                </w:tcPr>
                <w:p>
                  <w:pPr>
                    <w:spacing w:line="300" w:lineRule="exact"/>
                    <w:jc w:val="center"/>
                    <w:rPr>
                      <w:color w:val="auto"/>
                      <w:szCs w:val="21"/>
                      <w:highlight w:val="none"/>
                    </w:rPr>
                  </w:pPr>
                  <w:r>
                    <w:rPr>
                      <w:rFonts w:hint="eastAsia"/>
                      <w:color w:val="auto"/>
                      <w:szCs w:val="21"/>
                      <w:highlight w:val="none"/>
                    </w:rPr>
                    <w:t>13600</w:t>
                  </w:r>
                </w:p>
              </w:tc>
              <w:tc>
                <w:tcPr>
                  <w:tcW w:w="561" w:type="dxa"/>
                  <w:vAlign w:val="center"/>
                </w:tcPr>
                <w:p>
                  <w:pPr>
                    <w:spacing w:line="300" w:lineRule="exact"/>
                    <w:jc w:val="center"/>
                    <w:rPr>
                      <w:color w:val="auto"/>
                      <w:szCs w:val="21"/>
                      <w:highlight w:val="none"/>
                    </w:rPr>
                  </w:pPr>
                  <w:r>
                    <w:rPr>
                      <w:rFonts w:hint="eastAsia"/>
                      <w:color w:val="auto"/>
                      <w:szCs w:val="21"/>
                      <w:highlight w:val="none"/>
                    </w:rPr>
                    <w:t>SE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710" w:type="dxa"/>
                  <w:vAlign w:val="center"/>
                </w:tcPr>
                <w:p>
                  <w:pPr>
                    <w:spacing w:line="300" w:lineRule="exact"/>
                    <w:jc w:val="center"/>
                    <w:rPr>
                      <w:color w:val="auto"/>
                      <w:szCs w:val="21"/>
                      <w:highlight w:val="none"/>
                    </w:rPr>
                  </w:pPr>
                  <w:r>
                    <w:rPr>
                      <w:color w:val="auto"/>
                      <w:szCs w:val="21"/>
                      <w:highlight w:val="none"/>
                    </w:rPr>
                    <w:t>阳澄湖（工业园区）重要湿地</w:t>
                  </w:r>
                </w:p>
              </w:tc>
              <w:tc>
                <w:tcPr>
                  <w:tcW w:w="1120" w:type="dxa"/>
                  <w:vAlign w:val="center"/>
                </w:tcPr>
                <w:p>
                  <w:pPr>
                    <w:spacing w:line="300" w:lineRule="exact"/>
                    <w:jc w:val="center"/>
                    <w:rPr>
                      <w:color w:val="auto"/>
                      <w:szCs w:val="21"/>
                      <w:highlight w:val="none"/>
                    </w:rPr>
                  </w:pPr>
                  <w:r>
                    <w:rPr>
                      <w:rFonts w:hint="eastAsia"/>
                      <w:color w:val="auto"/>
                      <w:szCs w:val="21"/>
                      <w:highlight w:val="none"/>
                    </w:rPr>
                    <w:t>湿地生态系统保护</w:t>
                  </w:r>
                </w:p>
              </w:tc>
              <w:tc>
                <w:tcPr>
                  <w:tcW w:w="3259" w:type="dxa"/>
                  <w:vAlign w:val="center"/>
                </w:tcPr>
                <w:p>
                  <w:pPr>
                    <w:spacing w:line="300" w:lineRule="exact"/>
                    <w:jc w:val="center"/>
                    <w:rPr>
                      <w:color w:val="auto"/>
                      <w:szCs w:val="21"/>
                      <w:highlight w:val="none"/>
                    </w:rPr>
                  </w:pPr>
                  <w:r>
                    <w:rPr>
                      <w:rFonts w:hint="eastAsia"/>
                      <w:color w:val="auto"/>
                      <w:spacing w:val="-6"/>
                      <w:szCs w:val="21"/>
                      <w:highlight w:val="none"/>
                    </w:rPr>
                    <w:t>阳澄湖水域及沿岸纵深1000m范围</w:t>
                  </w:r>
                </w:p>
              </w:tc>
              <w:tc>
                <w:tcPr>
                  <w:tcW w:w="1268" w:type="dxa"/>
                  <w:vAlign w:val="center"/>
                </w:tcPr>
                <w:p>
                  <w:pPr>
                    <w:spacing w:line="300" w:lineRule="exact"/>
                    <w:jc w:val="center"/>
                    <w:rPr>
                      <w:color w:val="auto"/>
                      <w:szCs w:val="21"/>
                      <w:highlight w:val="none"/>
                    </w:rPr>
                  </w:pPr>
                  <w:r>
                    <w:rPr>
                      <w:rFonts w:hint="eastAsia"/>
                      <w:color w:val="auto"/>
                      <w:szCs w:val="21"/>
                      <w:highlight w:val="none"/>
                    </w:rPr>
                    <w:t>350</w:t>
                  </w:r>
                </w:p>
              </w:tc>
              <w:tc>
                <w:tcPr>
                  <w:tcW w:w="561" w:type="dxa"/>
                  <w:vAlign w:val="center"/>
                </w:tcPr>
                <w:p>
                  <w:pPr>
                    <w:spacing w:line="300" w:lineRule="exact"/>
                    <w:jc w:val="center"/>
                    <w:rPr>
                      <w:color w:val="auto"/>
                      <w:szCs w:val="21"/>
                      <w:highlight w:val="none"/>
                    </w:rPr>
                  </w:pPr>
                  <w:r>
                    <w:rPr>
                      <w:rFonts w:hint="eastAsia"/>
                      <w:color w:val="auto"/>
                      <w:szCs w:val="21"/>
                      <w:highlight w:val="none"/>
                    </w:rPr>
                    <w:t>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710" w:type="dxa"/>
                  <w:vAlign w:val="center"/>
                </w:tcPr>
                <w:p>
                  <w:pPr>
                    <w:spacing w:line="300" w:lineRule="exact"/>
                    <w:jc w:val="center"/>
                    <w:rPr>
                      <w:color w:val="auto"/>
                      <w:szCs w:val="21"/>
                      <w:highlight w:val="none"/>
                    </w:rPr>
                  </w:pPr>
                  <w:r>
                    <w:rPr>
                      <w:rFonts w:hint="eastAsia"/>
                      <w:color w:val="auto"/>
                      <w:szCs w:val="21"/>
                      <w:highlight w:val="none"/>
                    </w:rPr>
                    <w:t>吴淞江清水通道维护区</w:t>
                  </w:r>
                </w:p>
              </w:tc>
              <w:tc>
                <w:tcPr>
                  <w:tcW w:w="1120" w:type="dxa"/>
                  <w:vAlign w:val="center"/>
                </w:tcPr>
                <w:p>
                  <w:pPr>
                    <w:spacing w:line="300" w:lineRule="exact"/>
                    <w:jc w:val="center"/>
                    <w:rPr>
                      <w:color w:val="auto"/>
                      <w:szCs w:val="21"/>
                      <w:highlight w:val="none"/>
                    </w:rPr>
                  </w:pPr>
                  <w:r>
                    <w:rPr>
                      <w:rFonts w:hint="eastAsia"/>
                      <w:color w:val="auto"/>
                      <w:szCs w:val="21"/>
                      <w:highlight w:val="none"/>
                    </w:rPr>
                    <w:t>清水通道维护区</w:t>
                  </w:r>
                </w:p>
              </w:tc>
              <w:tc>
                <w:tcPr>
                  <w:tcW w:w="3259" w:type="dxa"/>
                  <w:vAlign w:val="center"/>
                </w:tcPr>
                <w:p>
                  <w:pPr>
                    <w:spacing w:line="300" w:lineRule="exact"/>
                    <w:jc w:val="center"/>
                    <w:rPr>
                      <w:color w:val="auto"/>
                      <w:spacing w:val="-6"/>
                      <w:szCs w:val="21"/>
                      <w:highlight w:val="none"/>
                    </w:rPr>
                  </w:pPr>
                  <w:r>
                    <w:rPr>
                      <w:rFonts w:hint="eastAsia"/>
                      <w:color w:val="auto"/>
                      <w:szCs w:val="21"/>
                      <w:highlight w:val="none"/>
                    </w:rPr>
                    <w:t>苏州工业园区内，吴淞江水体范围</w:t>
                  </w:r>
                </w:p>
              </w:tc>
              <w:tc>
                <w:tcPr>
                  <w:tcW w:w="1268" w:type="dxa"/>
                  <w:vAlign w:val="center"/>
                </w:tcPr>
                <w:p>
                  <w:pPr>
                    <w:spacing w:line="300" w:lineRule="exact"/>
                    <w:jc w:val="center"/>
                    <w:rPr>
                      <w:color w:val="auto"/>
                      <w:szCs w:val="21"/>
                      <w:highlight w:val="none"/>
                    </w:rPr>
                  </w:pPr>
                  <w:r>
                    <w:rPr>
                      <w:rFonts w:hint="eastAsia"/>
                      <w:color w:val="auto"/>
                      <w:szCs w:val="21"/>
                      <w:highlight w:val="none"/>
                    </w:rPr>
                    <w:t>14000</w:t>
                  </w:r>
                </w:p>
              </w:tc>
              <w:tc>
                <w:tcPr>
                  <w:tcW w:w="561" w:type="dxa"/>
                  <w:vAlign w:val="center"/>
                </w:tcPr>
                <w:p>
                  <w:pPr>
                    <w:spacing w:line="300" w:lineRule="exact"/>
                    <w:jc w:val="center"/>
                    <w:rPr>
                      <w:color w:val="auto"/>
                      <w:szCs w:val="21"/>
                      <w:highlight w:val="none"/>
                    </w:rPr>
                  </w:pPr>
                  <w:r>
                    <w:rPr>
                      <w:rFonts w:hint="eastAsia"/>
                      <w:color w:val="auto"/>
                      <w:szCs w:val="21"/>
                      <w:highlight w:val="none"/>
                    </w:rPr>
                    <w:t>SE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710" w:type="dxa"/>
                  <w:vAlign w:val="center"/>
                </w:tcPr>
                <w:p>
                  <w:pPr>
                    <w:spacing w:line="300" w:lineRule="exact"/>
                    <w:jc w:val="center"/>
                    <w:rPr>
                      <w:color w:val="auto"/>
                      <w:szCs w:val="21"/>
                      <w:highlight w:val="none"/>
                    </w:rPr>
                  </w:pPr>
                  <w:r>
                    <w:rPr>
                      <w:color w:val="auto"/>
                      <w:szCs w:val="21"/>
                      <w:highlight w:val="none"/>
                    </w:rPr>
                    <w:t>阳澄湖苏州工业园区饮用水水源保护区</w:t>
                  </w:r>
                </w:p>
              </w:tc>
              <w:tc>
                <w:tcPr>
                  <w:tcW w:w="1120" w:type="dxa"/>
                  <w:vAlign w:val="center"/>
                </w:tcPr>
                <w:p>
                  <w:pPr>
                    <w:spacing w:line="300" w:lineRule="exact"/>
                    <w:jc w:val="center"/>
                    <w:rPr>
                      <w:color w:val="auto"/>
                      <w:szCs w:val="21"/>
                      <w:highlight w:val="none"/>
                    </w:rPr>
                  </w:pPr>
                  <w:r>
                    <w:rPr>
                      <w:color w:val="auto"/>
                      <w:szCs w:val="21"/>
                      <w:highlight w:val="none"/>
                    </w:rPr>
                    <w:t>水源水质保护</w:t>
                  </w:r>
                </w:p>
              </w:tc>
              <w:tc>
                <w:tcPr>
                  <w:tcW w:w="3259" w:type="dxa"/>
                  <w:vAlign w:val="center"/>
                </w:tcPr>
                <w:p>
                  <w:pPr>
                    <w:spacing w:line="300" w:lineRule="exact"/>
                    <w:jc w:val="center"/>
                    <w:rPr>
                      <w:color w:val="auto"/>
                      <w:szCs w:val="21"/>
                      <w:highlight w:val="none"/>
                    </w:rPr>
                  </w:pPr>
                  <w:r>
                    <w:rPr>
                      <w:color w:val="auto"/>
                      <w:szCs w:val="21"/>
                      <w:highlight w:val="none"/>
                    </w:rPr>
                    <w:t>一级保护区：以园区阳澄湖水厂取水口（120°47′49″E，31°23′19″N）为中心，半径500米范围内的区域。二级保护区：一级保护区外，外延2000米的水域及相对应的本岸背水坡堤脚外100米之间的陆域。准保护区：二级保护区外外延1000米的陆域</w:t>
                  </w:r>
                </w:p>
              </w:tc>
              <w:tc>
                <w:tcPr>
                  <w:tcW w:w="1268" w:type="dxa"/>
                  <w:vAlign w:val="center"/>
                </w:tcPr>
                <w:p>
                  <w:pPr>
                    <w:spacing w:line="300" w:lineRule="exact"/>
                    <w:jc w:val="center"/>
                    <w:rPr>
                      <w:color w:val="auto"/>
                      <w:szCs w:val="21"/>
                      <w:highlight w:val="none"/>
                    </w:rPr>
                  </w:pPr>
                  <w:r>
                    <w:rPr>
                      <w:rFonts w:hint="eastAsia"/>
                      <w:color w:val="auto"/>
                      <w:szCs w:val="21"/>
                      <w:highlight w:val="none"/>
                    </w:rPr>
                    <w:t>12500</w:t>
                  </w:r>
                </w:p>
              </w:tc>
              <w:tc>
                <w:tcPr>
                  <w:tcW w:w="561" w:type="dxa"/>
                  <w:vAlign w:val="center"/>
                </w:tcPr>
                <w:p>
                  <w:pPr>
                    <w:spacing w:line="300" w:lineRule="exact"/>
                    <w:jc w:val="center"/>
                    <w:rPr>
                      <w:color w:val="auto"/>
                      <w:szCs w:val="21"/>
                      <w:highlight w:val="none"/>
                    </w:rPr>
                  </w:pPr>
                  <w:r>
                    <w:rPr>
                      <w:rFonts w:hint="eastAsia"/>
                      <w:color w:val="auto"/>
                      <w:szCs w:val="21"/>
                      <w:highlight w:val="none"/>
                    </w:rPr>
                    <w:t>NE</w:t>
                  </w:r>
                </w:p>
              </w:tc>
            </w:tr>
          </w:tbl>
          <w:p>
            <w:pPr>
              <w:pStyle w:val="23"/>
              <w:rPr>
                <w:color w:val="auto"/>
                <w:highlight w:val="none"/>
              </w:rPr>
            </w:pPr>
          </w:p>
        </w:tc>
      </w:tr>
    </w:tbl>
    <w:p>
      <w:pPr>
        <w:adjustRightInd w:val="0"/>
        <w:snapToGrid w:val="0"/>
        <w:jc w:val="center"/>
        <w:rPr>
          <w:rFonts w:ascii="宋体" w:hAnsi="宋体" w:cs="宋体"/>
          <w:color w:val="auto"/>
          <w:kern w:val="0"/>
          <w:sz w:val="24"/>
          <w:highlight w:val="none"/>
        </w:rPr>
        <w:sectPr>
          <w:pgSz w:w="11907" w:h="16840"/>
          <w:pgMar w:top="1701" w:right="1531" w:bottom="1701" w:left="1531" w:header="851" w:footer="851" w:gutter="0"/>
          <w:cols w:space="720" w:num="1"/>
          <w:docGrid w:linePitch="312" w:charSpace="0"/>
        </w:sectPr>
      </w:pP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29" w:hRule="atLeast"/>
          <w:jc w:val="center"/>
        </w:trPr>
        <w:tc>
          <w:tcPr>
            <w:tcW w:w="800" w:type="dxa"/>
            <w:vAlign w:val="center"/>
          </w:tcPr>
          <w:p>
            <w:pPr>
              <w:adjustRightInd w:val="0"/>
              <w:snapToGrid w:val="0"/>
              <w:jc w:val="center"/>
              <w:rPr>
                <w:color w:val="auto"/>
                <w:kern w:val="0"/>
                <w:szCs w:val="21"/>
                <w:highlight w:val="none"/>
              </w:rPr>
            </w:pPr>
            <w:r>
              <w:rPr>
                <w:color w:val="auto"/>
                <w:kern w:val="0"/>
                <w:szCs w:val="21"/>
                <w:highlight w:val="none"/>
              </w:rPr>
              <w:t>评价</w:t>
            </w:r>
          </w:p>
          <w:p>
            <w:pPr>
              <w:adjustRightInd w:val="0"/>
              <w:snapToGrid w:val="0"/>
              <w:jc w:val="center"/>
              <w:rPr>
                <w:rFonts w:ascii="宋体" w:hAnsi="宋体" w:cs="宋体"/>
                <w:color w:val="auto"/>
                <w:kern w:val="0"/>
                <w:szCs w:val="21"/>
                <w:highlight w:val="none"/>
              </w:rPr>
            </w:pPr>
            <w:r>
              <w:rPr>
                <w:color w:val="auto"/>
                <w:kern w:val="0"/>
                <w:szCs w:val="21"/>
                <w:highlight w:val="none"/>
              </w:rPr>
              <w:t>标准</w:t>
            </w:r>
          </w:p>
        </w:tc>
        <w:tc>
          <w:tcPr>
            <w:tcW w:w="8190" w:type="dxa"/>
          </w:tcPr>
          <w:p>
            <w:pPr>
              <w:autoSpaceDE w:val="0"/>
              <w:autoSpaceDN w:val="0"/>
              <w:adjustRightInd w:val="0"/>
              <w:snapToGrid w:val="0"/>
              <w:spacing w:line="360" w:lineRule="auto"/>
              <w:rPr>
                <w:b/>
                <w:color w:val="auto"/>
                <w:sz w:val="24"/>
                <w:highlight w:val="none"/>
              </w:rPr>
            </w:pPr>
            <w:r>
              <w:rPr>
                <w:rFonts w:hint="eastAsia"/>
                <w:b/>
                <w:color w:val="auto"/>
                <w:sz w:val="24"/>
                <w:highlight w:val="none"/>
              </w:rPr>
              <w:t>环境质量标准：</w:t>
            </w:r>
          </w:p>
          <w:p>
            <w:pPr>
              <w:autoSpaceDE w:val="0"/>
              <w:autoSpaceDN w:val="0"/>
              <w:adjustRightInd w:val="0"/>
              <w:snapToGrid w:val="0"/>
              <w:spacing w:line="360" w:lineRule="auto"/>
              <w:ind w:firstLine="482" w:firstLineChars="200"/>
              <w:rPr>
                <w:b/>
                <w:color w:val="auto"/>
                <w:kern w:val="0"/>
                <w:sz w:val="24"/>
                <w:highlight w:val="none"/>
              </w:rPr>
            </w:pPr>
            <w:r>
              <w:rPr>
                <w:b/>
                <w:color w:val="auto"/>
                <w:sz w:val="24"/>
                <w:highlight w:val="none"/>
              </w:rPr>
              <w:t>1、</w:t>
            </w:r>
            <w:r>
              <w:rPr>
                <w:b/>
                <w:color w:val="auto"/>
                <w:kern w:val="0"/>
                <w:sz w:val="24"/>
                <w:highlight w:val="none"/>
              </w:rPr>
              <w:t>大气环境质量标准</w:t>
            </w:r>
          </w:p>
          <w:p>
            <w:pPr>
              <w:pStyle w:val="24"/>
              <w:kinsoku w:val="0"/>
              <w:overflowPunct w:val="0"/>
              <w:spacing w:line="360" w:lineRule="auto"/>
              <w:ind w:firstLine="480" w:firstLineChars="200"/>
              <w:jc w:val="both"/>
              <w:rPr>
                <w:color w:val="auto"/>
                <w:highlight w:val="none"/>
              </w:rPr>
            </w:pPr>
            <w:r>
              <w:rPr>
                <w:color w:val="auto"/>
                <w:highlight w:val="none"/>
              </w:rPr>
              <w:t>本项目地属二类功能区，执行《环境空气质量标准》（GB3095-2012）二级标准。具体浓度限值见表3-</w:t>
            </w:r>
            <w:r>
              <w:rPr>
                <w:rFonts w:hint="eastAsia"/>
                <w:color w:val="auto"/>
                <w:highlight w:val="none"/>
              </w:rPr>
              <w:t>8</w:t>
            </w:r>
            <w:r>
              <w:rPr>
                <w:color w:val="auto"/>
                <w:highlight w:val="none"/>
              </w:rPr>
              <w:t>。</w:t>
            </w:r>
          </w:p>
          <w:p>
            <w:pPr>
              <w:adjustRightInd w:val="0"/>
              <w:snapToGrid w:val="0"/>
              <w:spacing w:line="400" w:lineRule="atLeast"/>
              <w:jc w:val="center"/>
              <w:rPr>
                <w:b/>
                <w:color w:val="auto"/>
                <w:kern w:val="0"/>
                <w:szCs w:val="21"/>
                <w:highlight w:val="none"/>
              </w:rPr>
            </w:pPr>
            <w:r>
              <w:rPr>
                <w:b/>
                <w:bCs/>
                <w:color w:val="auto"/>
                <w:szCs w:val="21"/>
                <w:highlight w:val="none"/>
              </w:rPr>
              <w:t>表3-</w:t>
            </w:r>
            <w:r>
              <w:rPr>
                <w:rFonts w:hint="eastAsia"/>
                <w:b/>
                <w:bCs/>
                <w:color w:val="auto"/>
                <w:szCs w:val="21"/>
                <w:highlight w:val="none"/>
              </w:rPr>
              <w:t>8</w:t>
            </w:r>
            <w:r>
              <w:rPr>
                <w:b/>
                <w:color w:val="auto"/>
                <w:kern w:val="0"/>
                <w:szCs w:val="21"/>
                <w:highlight w:val="none"/>
              </w:rPr>
              <w:t>环境空气质量标准</w:t>
            </w:r>
          </w:p>
          <w:tbl>
            <w:tblPr>
              <w:tblStyle w:val="18"/>
              <w:tblW w:w="5000" w:type="pct"/>
              <w:tblInd w:w="5" w:type="dxa"/>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171"/>
              <w:gridCol w:w="996"/>
              <w:gridCol w:w="997"/>
              <w:gridCol w:w="997"/>
              <w:gridCol w:w="1025"/>
              <w:gridCol w:w="899"/>
              <w:gridCol w:w="1067"/>
            </w:tblGrid>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27" w:type="dxa"/>
                  <w:vMerge w:val="restart"/>
                  <w:tcBorders>
                    <w:top w:val="single" w:color="auto" w:sz="12" w:space="0"/>
                  </w:tcBorders>
                  <w:vAlign w:val="center"/>
                </w:tcPr>
                <w:p>
                  <w:pPr>
                    <w:jc w:val="center"/>
                    <w:rPr>
                      <w:b/>
                      <w:bCs/>
                      <w:color w:val="auto"/>
                      <w:kern w:val="0"/>
                      <w:sz w:val="24"/>
                      <w:highlight w:val="none"/>
                    </w:rPr>
                  </w:pPr>
                  <w:r>
                    <w:rPr>
                      <w:b/>
                      <w:bCs/>
                      <w:color w:val="auto"/>
                      <w:highlight w:val="none"/>
                    </w:rPr>
                    <w:t>区域名</w:t>
                  </w:r>
                </w:p>
              </w:tc>
              <w:tc>
                <w:tcPr>
                  <w:tcW w:w="1181" w:type="dxa"/>
                  <w:vMerge w:val="restart"/>
                  <w:tcBorders>
                    <w:top w:val="single" w:color="auto" w:sz="12" w:space="0"/>
                  </w:tcBorders>
                  <w:vAlign w:val="center"/>
                </w:tcPr>
                <w:p>
                  <w:pPr>
                    <w:jc w:val="center"/>
                    <w:rPr>
                      <w:b/>
                      <w:bCs/>
                      <w:color w:val="auto"/>
                      <w:kern w:val="0"/>
                      <w:sz w:val="24"/>
                      <w:highlight w:val="none"/>
                    </w:rPr>
                  </w:pPr>
                  <w:r>
                    <w:rPr>
                      <w:b/>
                      <w:bCs/>
                      <w:color w:val="auto"/>
                      <w:highlight w:val="none"/>
                    </w:rPr>
                    <w:t>执行标准</w:t>
                  </w:r>
                </w:p>
              </w:tc>
              <w:tc>
                <w:tcPr>
                  <w:tcW w:w="1004" w:type="dxa"/>
                  <w:vMerge w:val="restart"/>
                  <w:tcBorders>
                    <w:top w:val="single" w:color="auto" w:sz="12" w:space="0"/>
                  </w:tcBorders>
                  <w:vAlign w:val="center"/>
                </w:tcPr>
                <w:p>
                  <w:pPr>
                    <w:jc w:val="center"/>
                    <w:rPr>
                      <w:b/>
                      <w:bCs/>
                      <w:color w:val="auto"/>
                      <w:kern w:val="0"/>
                      <w:sz w:val="24"/>
                      <w:highlight w:val="none"/>
                    </w:rPr>
                  </w:pPr>
                  <w:r>
                    <w:rPr>
                      <w:b/>
                      <w:bCs/>
                      <w:color w:val="auto"/>
                      <w:highlight w:val="none"/>
                    </w:rPr>
                    <w:t>表号及级别</w:t>
                  </w:r>
                </w:p>
              </w:tc>
              <w:tc>
                <w:tcPr>
                  <w:tcW w:w="1005" w:type="dxa"/>
                  <w:vMerge w:val="restart"/>
                  <w:tcBorders>
                    <w:top w:val="single" w:color="auto" w:sz="12" w:space="0"/>
                  </w:tcBorders>
                  <w:vAlign w:val="center"/>
                </w:tcPr>
                <w:p>
                  <w:pPr>
                    <w:jc w:val="center"/>
                    <w:rPr>
                      <w:b/>
                      <w:bCs/>
                      <w:color w:val="auto"/>
                      <w:kern w:val="0"/>
                      <w:sz w:val="24"/>
                      <w:highlight w:val="none"/>
                    </w:rPr>
                  </w:pPr>
                  <w:r>
                    <w:rPr>
                      <w:b/>
                      <w:bCs/>
                      <w:color w:val="auto"/>
                      <w:highlight w:val="none"/>
                    </w:rPr>
                    <w:t>污染物指标</w:t>
                  </w:r>
                </w:p>
              </w:tc>
              <w:tc>
                <w:tcPr>
                  <w:tcW w:w="1005" w:type="dxa"/>
                  <w:vMerge w:val="restart"/>
                  <w:tcBorders>
                    <w:top w:val="single" w:color="auto" w:sz="12" w:space="0"/>
                  </w:tcBorders>
                  <w:vAlign w:val="center"/>
                </w:tcPr>
                <w:p>
                  <w:pPr>
                    <w:jc w:val="center"/>
                    <w:rPr>
                      <w:b/>
                      <w:bCs/>
                      <w:color w:val="auto"/>
                      <w:kern w:val="0"/>
                      <w:sz w:val="24"/>
                      <w:highlight w:val="none"/>
                    </w:rPr>
                  </w:pPr>
                  <w:r>
                    <w:rPr>
                      <w:b/>
                      <w:bCs/>
                      <w:color w:val="auto"/>
                      <w:highlight w:val="none"/>
                    </w:rPr>
                    <w:t>单位</w:t>
                  </w:r>
                </w:p>
              </w:tc>
              <w:tc>
                <w:tcPr>
                  <w:tcW w:w="3015" w:type="dxa"/>
                  <w:gridSpan w:val="3"/>
                  <w:tcBorders>
                    <w:top w:val="single" w:color="auto" w:sz="12" w:space="0"/>
                  </w:tcBorders>
                  <w:vAlign w:val="center"/>
                </w:tcPr>
                <w:p>
                  <w:pPr>
                    <w:jc w:val="center"/>
                    <w:rPr>
                      <w:b/>
                      <w:bCs/>
                      <w:color w:val="auto"/>
                      <w:kern w:val="0"/>
                      <w:sz w:val="24"/>
                      <w:highlight w:val="none"/>
                    </w:rPr>
                  </w:pPr>
                  <w:r>
                    <w:rPr>
                      <w:b/>
                      <w:bCs/>
                      <w:color w:val="auto"/>
                      <w:highlight w:val="none"/>
                    </w:rPr>
                    <w:t>标准限值</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27" w:type="dxa"/>
                  <w:vMerge w:val="continue"/>
                  <w:tcBorders>
                    <w:bottom w:val="single" w:color="auto" w:sz="4" w:space="0"/>
                  </w:tcBorders>
                  <w:vAlign w:val="center"/>
                </w:tcPr>
                <w:p>
                  <w:pPr>
                    <w:jc w:val="center"/>
                    <w:rPr>
                      <w:b/>
                      <w:bCs/>
                      <w:color w:val="auto"/>
                      <w:kern w:val="0"/>
                      <w:sz w:val="24"/>
                      <w:highlight w:val="none"/>
                    </w:rPr>
                  </w:pPr>
                </w:p>
              </w:tc>
              <w:tc>
                <w:tcPr>
                  <w:tcW w:w="1181" w:type="dxa"/>
                  <w:vMerge w:val="continue"/>
                  <w:tcBorders>
                    <w:bottom w:val="single" w:color="auto" w:sz="4" w:space="0"/>
                  </w:tcBorders>
                </w:tcPr>
                <w:p>
                  <w:pPr>
                    <w:jc w:val="center"/>
                    <w:rPr>
                      <w:b/>
                      <w:bCs/>
                      <w:color w:val="auto"/>
                      <w:kern w:val="0"/>
                      <w:sz w:val="24"/>
                      <w:highlight w:val="none"/>
                    </w:rPr>
                  </w:pPr>
                </w:p>
              </w:tc>
              <w:tc>
                <w:tcPr>
                  <w:tcW w:w="1004" w:type="dxa"/>
                  <w:vMerge w:val="continue"/>
                  <w:tcBorders>
                    <w:bottom w:val="single" w:color="auto" w:sz="4" w:space="0"/>
                  </w:tcBorders>
                </w:tcPr>
                <w:p>
                  <w:pPr>
                    <w:jc w:val="center"/>
                    <w:rPr>
                      <w:b/>
                      <w:bCs/>
                      <w:color w:val="auto"/>
                      <w:kern w:val="0"/>
                      <w:sz w:val="24"/>
                      <w:highlight w:val="none"/>
                    </w:rPr>
                  </w:pPr>
                </w:p>
              </w:tc>
              <w:tc>
                <w:tcPr>
                  <w:tcW w:w="1005" w:type="dxa"/>
                  <w:vMerge w:val="continue"/>
                  <w:tcBorders>
                    <w:bottom w:val="single" w:color="auto" w:sz="4" w:space="0"/>
                  </w:tcBorders>
                  <w:vAlign w:val="center"/>
                </w:tcPr>
                <w:p>
                  <w:pPr>
                    <w:jc w:val="center"/>
                    <w:rPr>
                      <w:b/>
                      <w:bCs/>
                      <w:color w:val="auto"/>
                      <w:kern w:val="0"/>
                      <w:sz w:val="24"/>
                      <w:highlight w:val="none"/>
                    </w:rPr>
                  </w:pPr>
                </w:p>
              </w:tc>
              <w:tc>
                <w:tcPr>
                  <w:tcW w:w="1005" w:type="dxa"/>
                  <w:vMerge w:val="continue"/>
                  <w:tcBorders>
                    <w:bottom w:val="single" w:color="auto" w:sz="4" w:space="0"/>
                  </w:tcBorders>
                </w:tcPr>
                <w:p>
                  <w:pPr>
                    <w:jc w:val="center"/>
                    <w:rPr>
                      <w:b/>
                      <w:bCs/>
                      <w:color w:val="auto"/>
                      <w:kern w:val="0"/>
                      <w:sz w:val="24"/>
                      <w:highlight w:val="none"/>
                    </w:rPr>
                  </w:pPr>
                </w:p>
              </w:tc>
              <w:tc>
                <w:tcPr>
                  <w:tcW w:w="1033" w:type="dxa"/>
                  <w:tcBorders>
                    <w:bottom w:val="single" w:color="auto" w:sz="4" w:space="0"/>
                  </w:tcBorders>
                  <w:vAlign w:val="center"/>
                </w:tcPr>
                <w:p>
                  <w:pPr>
                    <w:jc w:val="center"/>
                    <w:rPr>
                      <w:b/>
                      <w:bCs/>
                      <w:color w:val="auto"/>
                      <w:kern w:val="0"/>
                      <w:sz w:val="24"/>
                      <w:highlight w:val="none"/>
                    </w:rPr>
                  </w:pPr>
                  <w:r>
                    <w:rPr>
                      <w:b/>
                      <w:bCs/>
                      <w:color w:val="auto"/>
                      <w:highlight w:val="none"/>
                    </w:rPr>
                    <w:t>小时</w:t>
                  </w:r>
                </w:p>
              </w:tc>
              <w:tc>
                <w:tcPr>
                  <w:tcW w:w="906" w:type="dxa"/>
                  <w:tcBorders>
                    <w:bottom w:val="single" w:color="auto" w:sz="4" w:space="0"/>
                  </w:tcBorders>
                  <w:vAlign w:val="center"/>
                </w:tcPr>
                <w:p>
                  <w:pPr>
                    <w:jc w:val="center"/>
                    <w:rPr>
                      <w:b/>
                      <w:bCs/>
                      <w:color w:val="auto"/>
                      <w:kern w:val="0"/>
                      <w:sz w:val="24"/>
                      <w:highlight w:val="none"/>
                    </w:rPr>
                  </w:pPr>
                  <w:r>
                    <w:rPr>
                      <w:b/>
                      <w:bCs/>
                      <w:color w:val="auto"/>
                      <w:highlight w:val="none"/>
                    </w:rPr>
                    <w:t>日均</w:t>
                  </w:r>
                </w:p>
              </w:tc>
              <w:tc>
                <w:tcPr>
                  <w:tcW w:w="1076" w:type="dxa"/>
                  <w:tcBorders>
                    <w:bottom w:val="single" w:color="auto" w:sz="4" w:space="0"/>
                  </w:tcBorders>
                  <w:vAlign w:val="center"/>
                </w:tcPr>
                <w:p>
                  <w:pPr>
                    <w:jc w:val="center"/>
                    <w:rPr>
                      <w:b/>
                      <w:bCs/>
                      <w:color w:val="auto"/>
                      <w:kern w:val="0"/>
                      <w:sz w:val="24"/>
                      <w:highlight w:val="none"/>
                    </w:rPr>
                  </w:pPr>
                  <w:r>
                    <w:rPr>
                      <w:b/>
                      <w:bCs/>
                      <w:color w:val="auto"/>
                      <w:highlight w:val="none"/>
                    </w:rPr>
                    <w:t>年均</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27" w:type="dxa"/>
                  <w:vMerge w:val="restart"/>
                  <w:tcBorders>
                    <w:top w:val="single" w:color="auto" w:sz="4" w:space="0"/>
                  </w:tcBorders>
                  <w:vAlign w:val="center"/>
                </w:tcPr>
                <w:p>
                  <w:pPr>
                    <w:jc w:val="center"/>
                    <w:rPr>
                      <w:b/>
                      <w:color w:val="auto"/>
                      <w:kern w:val="0"/>
                      <w:sz w:val="24"/>
                      <w:highlight w:val="none"/>
                    </w:rPr>
                  </w:pPr>
                  <w:r>
                    <w:rPr>
                      <w:color w:val="auto"/>
                      <w:highlight w:val="none"/>
                    </w:rPr>
                    <w:t>项目所在地区域</w:t>
                  </w:r>
                </w:p>
              </w:tc>
              <w:tc>
                <w:tcPr>
                  <w:tcW w:w="1181" w:type="dxa"/>
                  <w:vMerge w:val="restart"/>
                  <w:tcBorders>
                    <w:top w:val="single" w:color="auto" w:sz="4" w:space="0"/>
                  </w:tcBorders>
                  <w:vAlign w:val="center"/>
                </w:tcPr>
                <w:p>
                  <w:pPr>
                    <w:jc w:val="center"/>
                    <w:rPr>
                      <w:b/>
                      <w:color w:val="auto"/>
                      <w:kern w:val="0"/>
                      <w:sz w:val="24"/>
                      <w:highlight w:val="none"/>
                    </w:rPr>
                  </w:pPr>
                  <w:r>
                    <w:rPr>
                      <w:color w:val="auto"/>
                      <w:highlight w:val="none"/>
                    </w:rPr>
                    <w:t>《环境空气质量标准</w:t>
                  </w:r>
                  <w:r>
                    <w:rPr>
                      <w:color w:val="auto"/>
                      <w:highlight w:val="none"/>
                    </w:rPr>
                    <w:cr/>
                  </w:r>
                  <w:r>
                    <w:rPr>
                      <w:color w:val="auto"/>
                      <w:highlight w:val="none"/>
                    </w:rPr>
                    <w:t>（GB3095-2012）</w:t>
                  </w:r>
                </w:p>
              </w:tc>
              <w:tc>
                <w:tcPr>
                  <w:tcW w:w="1004" w:type="dxa"/>
                  <w:vMerge w:val="restart"/>
                  <w:tcBorders>
                    <w:top w:val="single" w:color="auto" w:sz="4" w:space="0"/>
                  </w:tcBorders>
                  <w:vAlign w:val="center"/>
                </w:tcPr>
                <w:p>
                  <w:pPr>
                    <w:jc w:val="center"/>
                    <w:rPr>
                      <w:color w:val="auto"/>
                      <w:highlight w:val="none"/>
                    </w:rPr>
                  </w:pPr>
                  <w:r>
                    <w:rPr>
                      <w:color w:val="auto"/>
                      <w:highlight w:val="none"/>
                    </w:rPr>
                    <w:t>表1</w:t>
                  </w:r>
                </w:p>
                <w:p>
                  <w:pPr>
                    <w:jc w:val="center"/>
                    <w:rPr>
                      <w:b/>
                      <w:color w:val="auto"/>
                      <w:kern w:val="0"/>
                      <w:sz w:val="24"/>
                      <w:highlight w:val="none"/>
                    </w:rPr>
                  </w:pPr>
                  <w:r>
                    <w:rPr>
                      <w:color w:val="auto"/>
                      <w:highlight w:val="none"/>
                    </w:rPr>
                    <w:t>二级标准</w:t>
                  </w:r>
                </w:p>
              </w:tc>
              <w:tc>
                <w:tcPr>
                  <w:tcW w:w="1005" w:type="dxa"/>
                  <w:tcBorders>
                    <w:top w:val="single" w:color="auto" w:sz="4" w:space="0"/>
                  </w:tcBorders>
                  <w:vAlign w:val="center"/>
                </w:tcPr>
                <w:p>
                  <w:pPr>
                    <w:jc w:val="center"/>
                    <w:rPr>
                      <w:b/>
                      <w:color w:val="auto"/>
                      <w:kern w:val="0"/>
                      <w:sz w:val="24"/>
                      <w:highlight w:val="none"/>
                    </w:rPr>
                  </w:pPr>
                  <w:r>
                    <w:rPr>
                      <w:color w:val="auto"/>
                      <w:szCs w:val="21"/>
                      <w:highlight w:val="none"/>
                    </w:rPr>
                    <w:t>SO</w:t>
                  </w:r>
                  <w:r>
                    <w:rPr>
                      <w:color w:val="auto"/>
                      <w:szCs w:val="21"/>
                      <w:highlight w:val="none"/>
                      <w:vertAlign w:val="subscript"/>
                    </w:rPr>
                    <w:t>2</w:t>
                  </w:r>
                </w:p>
              </w:tc>
              <w:tc>
                <w:tcPr>
                  <w:tcW w:w="1005" w:type="dxa"/>
                  <w:vMerge w:val="restart"/>
                  <w:tcBorders>
                    <w:top w:val="single" w:color="auto" w:sz="4" w:space="0"/>
                  </w:tcBorders>
                  <w:vAlign w:val="center"/>
                </w:tcPr>
                <w:p>
                  <w:pPr>
                    <w:jc w:val="center"/>
                    <w:rPr>
                      <w:b/>
                      <w:color w:val="auto"/>
                      <w:kern w:val="0"/>
                      <w:sz w:val="24"/>
                      <w:highlight w:val="none"/>
                    </w:rPr>
                  </w:pPr>
                  <w:r>
                    <w:rPr>
                      <w:color w:val="auto"/>
                      <w:szCs w:val="21"/>
                      <w:highlight w:val="none"/>
                    </w:rPr>
                    <w:t>ug/m</w:t>
                  </w:r>
                  <w:r>
                    <w:rPr>
                      <w:color w:val="auto"/>
                      <w:szCs w:val="21"/>
                      <w:highlight w:val="none"/>
                      <w:vertAlign w:val="superscript"/>
                    </w:rPr>
                    <w:t>3</w:t>
                  </w:r>
                </w:p>
              </w:tc>
              <w:tc>
                <w:tcPr>
                  <w:tcW w:w="1033" w:type="dxa"/>
                  <w:tcBorders>
                    <w:top w:val="single" w:color="auto" w:sz="4" w:space="0"/>
                  </w:tcBorders>
                  <w:vAlign w:val="center"/>
                </w:tcPr>
                <w:p>
                  <w:pPr>
                    <w:jc w:val="center"/>
                    <w:rPr>
                      <w:b/>
                      <w:color w:val="auto"/>
                      <w:kern w:val="0"/>
                      <w:sz w:val="24"/>
                      <w:highlight w:val="none"/>
                    </w:rPr>
                  </w:pPr>
                  <w:r>
                    <w:rPr>
                      <w:color w:val="auto"/>
                      <w:szCs w:val="21"/>
                      <w:highlight w:val="none"/>
                    </w:rPr>
                    <w:t>500</w:t>
                  </w:r>
                </w:p>
              </w:tc>
              <w:tc>
                <w:tcPr>
                  <w:tcW w:w="906" w:type="dxa"/>
                  <w:tcBorders>
                    <w:top w:val="single" w:color="auto" w:sz="4" w:space="0"/>
                  </w:tcBorders>
                  <w:vAlign w:val="center"/>
                </w:tcPr>
                <w:p>
                  <w:pPr>
                    <w:jc w:val="center"/>
                    <w:rPr>
                      <w:b/>
                      <w:color w:val="auto"/>
                      <w:kern w:val="0"/>
                      <w:sz w:val="24"/>
                      <w:highlight w:val="none"/>
                    </w:rPr>
                  </w:pPr>
                  <w:r>
                    <w:rPr>
                      <w:color w:val="auto"/>
                      <w:szCs w:val="21"/>
                      <w:highlight w:val="none"/>
                    </w:rPr>
                    <w:t>150</w:t>
                  </w:r>
                </w:p>
              </w:tc>
              <w:tc>
                <w:tcPr>
                  <w:tcW w:w="1076" w:type="dxa"/>
                  <w:tcBorders>
                    <w:top w:val="single" w:color="auto" w:sz="4" w:space="0"/>
                  </w:tcBorders>
                  <w:vAlign w:val="center"/>
                </w:tcPr>
                <w:p>
                  <w:pPr>
                    <w:jc w:val="center"/>
                    <w:rPr>
                      <w:b/>
                      <w:color w:val="auto"/>
                      <w:kern w:val="0"/>
                      <w:sz w:val="24"/>
                      <w:highlight w:val="none"/>
                    </w:rPr>
                  </w:pPr>
                  <w:r>
                    <w:rPr>
                      <w:color w:val="auto"/>
                      <w:szCs w:val="21"/>
                      <w:highlight w:val="none"/>
                    </w:rPr>
                    <w:t>60</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27" w:type="dxa"/>
                  <w:vMerge w:val="continue"/>
                  <w:vAlign w:val="center"/>
                </w:tcPr>
                <w:p>
                  <w:pPr>
                    <w:jc w:val="center"/>
                    <w:rPr>
                      <w:b/>
                      <w:color w:val="auto"/>
                      <w:kern w:val="0"/>
                      <w:sz w:val="24"/>
                      <w:highlight w:val="none"/>
                    </w:rPr>
                  </w:pPr>
                </w:p>
              </w:tc>
              <w:tc>
                <w:tcPr>
                  <w:tcW w:w="1181" w:type="dxa"/>
                  <w:vMerge w:val="continue"/>
                  <w:vAlign w:val="center"/>
                </w:tcPr>
                <w:p>
                  <w:pPr>
                    <w:jc w:val="center"/>
                    <w:rPr>
                      <w:b/>
                      <w:color w:val="auto"/>
                      <w:kern w:val="0"/>
                      <w:sz w:val="24"/>
                      <w:highlight w:val="none"/>
                    </w:rPr>
                  </w:pPr>
                </w:p>
              </w:tc>
              <w:tc>
                <w:tcPr>
                  <w:tcW w:w="1004" w:type="dxa"/>
                  <w:vMerge w:val="continue"/>
                  <w:vAlign w:val="center"/>
                </w:tcPr>
                <w:p>
                  <w:pPr>
                    <w:jc w:val="center"/>
                    <w:rPr>
                      <w:b/>
                      <w:color w:val="auto"/>
                      <w:kern w:val="0"/>
                      <w:sz w:val="24"/>
                      <w:highlight w:val="none"/>
                    </w:rPr>
                  </w:pPr>
                </w:p>
              </w:tc>
              <w:tc>
                <w:tcPr>
                  <w:tcW w:w="1005" w:type="dxa"/>
                  <w:vAlign w:val="center"/>
                </w:tcPr>
                <w:p>
                  <w:pPr>
                    <w:jc w:val="center"/>
                    <w:rPr>
                      <w:b/>
                      <w:color w:val="auto"/>
                      <w:kern w:val="0"/>
                      <w:sz w:val="24"/>
                      <w:highlight w:val="none"/>
                    </w:rPr>
                  </w:pPr>
                  <w:r>
                    <w:rPr>
                      <w:color w:val="auto"/>
                      <w:highlight w:val="none"/>
                    </w:rPr>
                    <w:t>PM</w:t>
                  </w:r>
                  <w:r>
                    <w:rPr>
                      <w:color w:val="auto"/>
                      <w:szCs w:val="21"/>
                      <w:highlight w:val="none"/>
                      <w:vertAlign w:val="subscript"/>
                    </w:rPr>
                    <w:t>10</w:t>
                  </w:r>
                </w:p>
              </w:tc>
              <w:tc>
                <w:tcPr>
                  <w:tcW w:w="1005" w:type="dxa"/>
                  <w:vMerge w:val="continue"/>
                  <w:vAlign w:val="center"/>
                </w:tcPr>
                <w:p>
                  <w:pPr>
                    <w:jc w:val="center"/>
                    <w:rPr>
                      <w:b/>
                      <w:color w:val="auto"/>
                      <w:kern w:val="0"/>
                      <w:sz w:val="24"/>
                      <w:highlight w:val="none"/>
                    </w:rPr>
                  </w:pPr>
                </w:p>
              </w:tc>
              <w:tc>
                <w:tcPr>
                  <w:tcW w:w="1033" w:type="dxa"/>
                  <w:vAlign w:val="center"/>
                </w:tcPr>
                <w:p>
                  <w:pPr>
                    <w:jc w:val="center"/>
                    <w:rPr>
                      <w:b/>
                      <w:color w:val="auto"/>
                      <w:kern w:val="0"/>
                      <w:sz w:val="24"/>
                      <w:highlight w:val="none"/>
                    </w:rPr>
                  </w:pPr>
                  <w:r>
                    <w:rPr>
                      <w:color w:val="auto"/>
                      <w:szCs w:val="21"/>
                      <w:highlight w:val="none"/>
                    </w:rPr>
                    <w:t>——</w:t>
                  </w:r>
                </w:p>
              </w:tc>
              <w:tc>
                <w:tcPr>
                  <w:tcW w:w="906" w:type="dxa"/>
                  <w:vAlign w:val="center"/>
                </w:tcPr>
                <w:p>
                  <w:pPr>
                    <w:jc w:val="center"/>
                    <w:rPr>
                      <w:b/>
                      <w:color w:val="auto"/>
                      <w:kern w:val="0"/>
                      <w:sz w:val="24"/>
                      <w:highlight w:val="none"/>
                    </w:rPr>
                  </w:pPr>
                  <w:r>
                    <w:rPr>
                      <w:color w:val="auto"/>
                      <w:szCs w:val="21"/>
                      <w:highlight w:val="none"/>
                    </w:rPr>
                    <w:t>150</w:t>
                  </w:r>
                </w:p>
              </w:tc>
              <w:tc>
                <w:tcPr>
                  <w:tcW w:w="1076" w:type="dxa"/>
                  <w:vAlign w:val="center"/>
                </w:tcPr>
                <w:p>
                  <w:pPr>
                    <w:jc w:val="center"/>
                    <w:rPr>
                      <w:b/>
                      <w:color w:val="auto"/>
                      <w:kern w:val="0"/>
                      <w:sz w:val="24"/>
                      <w:highlight w:val="none"/>
                    </w:rPr>
                  </w:pPr>
                  <w:r>
                    <w:rPr>
                      <w:rFonts w:hint="eastAsia"/>
                      <w:color w:val="auto"/>
                      <w:szCs w:val="21"/>
                      <w:highlight w:val="none"/>
                    </w:rPr>
                    <w:t>70</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27" w:type="dxa"/>
                  <w:vMerge w:val="continue"/>
                  <w:vAlign w:val="center"/>
                </w:tcPr>
                <w:p>
                  <w:pPr>
                    <w:jc w:val="center"/>
                    <w:rPr>
                      <w:b/>
                      <w:color w:val="auto"/>
                      <w:kern w:val="0"/>
                      <w:sz w:val="24"/>
                      <w:highlight w:val="none"/>
                    </w:rPr>
                  </w:pPr>
                </w:p>
              </w:tc>
              <w:tc>
                <w:tcPr>
                  <w:tcW w:w="1181" w:type="dxa"/>
                  <w:vMerge w:val="continue"/>
                  <w:vAlign w:val="center"/>
                </w:tcPr>
                <w:p>
                  <w:pPr>
                    <w:jc w:val="center"/>
                    <w:rPr>
                      <w:b/>
                      <w:color w:val="auto"/>
                      <w:kern w:val="0"/>
                      <w:sz w:val="24"/>
                      <w:highlight w:val="none"/>
                    </w:rPr>
                  </w:pPr>
                </w:p>
              </w:tc>
              <w:tc>
                <w:tcPr>
                  <w:tcW w:w="1004" w:type="dxa"/>
                  <w:vMerge w:val="continue"/>
                  <w:vAlign w:val="center"/>
                </w:tcPr>
                <w:p>
                  <w:pPr>
                    <w:jc w:val="center"/>
                    <w:rPr>
                      <w:b/>
                      <w:color w:val="auto"/>
                      <w:kern w:val="0"/>
                      <w:sz w:val="24"/>
                      <w:highlight w:val="none"/>
                    </w:rPr>
                  </w:pPr>
                </w:p>
              </w:tc>
              <w:tc>
                <w:tcPr>
                  <w:tcW w:w="1005" w:type="dxa"/>
                  <w:vAlign w:val="center"/>
                </w:tcPr>
                <w:p>
                  <w:pPr>
                    <w:jc w:val="center"/>
                    <w:rPr>
                      <w:b/>
                      <w:color w:val="auto"/>
                      <w:kern w:val="0"/>
                      <w:sz w:val="24"/>
                      <w:highlight w:val="none"/>
                    </w:rPr>
                  </w:pPr>
                  <w:r>
                    <w:rPr>
                      <w:color w:val="auto"/>
                      <w:highlight w:val="none"/>
                    </w:rPr>
                    <w:t>NO</w:t>
                  </w:r>
                  <w:r>
                    <w:rPr>
                      <w:color w:val="auto"/>
                      <w:szCs w:val="21"/>
                      <w:highlight w:val="none"/>
                      <w:vertAlign w:val="subscript"/>
                    </w:rPr>
                    <w:t>2</w:t>
                  </w:r>
                </w:p>
              </w:tc>
              <w:tc>
                <w:tcPr>
                  <w:tcW w:w="1005" w:type="dxa"/>
                  <w:vMerge w:val="continue"/>
                  <w:vAlign w:val="center"/>
                </w:tcPr>
                <w:p>
                  <w:pPr>
                    <w:jc w:val="center"/>
                    <w:rPr>
                      <w:b/>
                      <w:color w:val="auto"/>
                      <w:kern w:val="0"/>
                      <w:sz w:val="24"/>
                      <w:highlight w:val="none"/>
                    </w:rPr>
                  </w:pPr>
                </w:p>
              </w:tc>
              <w:tc>
                <w:tcPr>
                  <w:tcW w:w="1033" w:type="dxa"/>
                  <w:vAlign w:val="center"/>
                </w:tcPr>
                <w:p>
                  <w:pPr>
                    <w:jc w:val="center"/>
                    <w:rPr>
                      <w:b/>
                      <w:color w:val="auto"/>
                      <w:kern w:val="0"/>
                      <w:sz w:val="24"/>
                      <w:highlight w:val="none"/>
                    </w:rPr>
                  </w:pPr>
                  <w:r>
                    <w:rPr>
                      <w:color w:val="auto"/>
                      <w:szCs w:val="21"/>
                      <w:highlight w:val="none"/>
                    </w:rPr>
                    <w:t>200</w:t>
                  </w:r>
                </w:p>
              </w:tc>
              <w:tc>
                <w:tcPr>
                  <w:tcW w:w="906" w:type="dxa"/>
                  <w:vAlign w:val="center"/>
                </w:tcPr>
                <w:p>
                  <w:pPr>
                    <w:jc w:val="center"/>
                    <w:rPr>
                      <w:b/>
                      <w:color w:val="auto"/>
                      <w:kern w:val="0"/>
                      <w:sz w:val="24"/>
                      <w:highlight w:val="none"/>
                    </w:rPr>
                  </w:pPr>
                  <w:r>
                    <w:rPr>
                      <w:color w:val="auto"/>
                      <w:szCs w:val="21"/>
                      <w:highlight w:val="none"/>
                    </w:rPr>
                    <w:t>80</w:t>
                  </w:r>
                </w:p>
              </w:tc>
              <w:tc>
                <w:tcPr>
                  <w:tcW w:w="1076" w:type="dxa"/>
                  <w:vAlign w:val="center"/>
                </w:tcPr>
                <w:p>
                  <w:pPr>
                    <w:jc w:val="center"/>
                    <w:rPr>
                      <w:b/>
                      <w:color w:val="auto"/>
                      <w:kern w:val="0"/>
                      <w:sz w:val="24"/>
                      <w:highlight w:val="none"/>
                    </w:rPr>
                  </w:pPr>
                  <w:r>
                    <w:rPr>
                      <w:color w:val="auto"/>
                      <w:szCs w:val="21"/>
                      <w:highlight w:val="none"/>
                    </w:rPr>
                    <w:t>40</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27" w:type="dxa"/>
                  <w:vMerge w:val="continue"/>
                  <w:vAlign w:val="center"/>
                </w:tcPr>
                <w:p>
                  <w:pPr>
                    <w:jc w:val="center"/>
                    <w:rPr>
                      <w:b/>
                      <w:color w:val="auto"/>
                      <w:kern w:val="0"/>
                      <w:sz w:val="24"/>
                      <w:highlight w:val="none"/>
                    </w:rPr>
                  </w:pPr>
                </w:p>
              </w:tc>
              <w:tc>
                <w:tcPr>
                  <w:tcW w:w="1181" w:type="dxa"/>
                  <w:vMerge w:val="continue"/>
                  <w:vAlign w:val="center"/>
                </w:tcPr>
                <w:p>
                  <w:pPr>
                    <w:jc w:val="center"/>
                    <w:rPr>
                      <w:b/>
                      <w:color w:val="auto"/>
                      <w:kern w:val="0"/>
                      <w:sz w:val="24"/>
                      <w:highlight w:val="none"/>
                    </w:rPr>
                  </w:pPr>
                </w:p>
              </w:tc>
              <w:tc>
                <w:tcPr>
                  <w:tcW w:w="1004" w:type="dxa"/>
                  <w:vMerge w:val="continue"/>
                  <w:vAlign w:val="center"/>
                </w:tcPr>
                <w:p>
                  <w:pPr>
                    <w:jc w:val="center"/>
                    <w:rPr>
                      <w:b/>
                      <w:color w:val="auto"/>
                      <w:kern w:val="0"/>
                      <w:sz w:val="24"/>
                      <w:highlight w:val="none"/>
                    </w:rPr>
                  </w:pPr>
                </w:p>
              </w:tc>
              <w:tc>
                <w:tcPr>
                  <w:tcW w:w="1005" w:type="dxa"/>
                  <w:vAlign w:val="center"/>
                </w:tcPr>
                <w:p>
                  <w:pPr>
                    <w:jc w:val="center"/>
                    <w:rPr>
                      <w:b/>
                      <w:color w:val="auto"/>
                      <w:kern w:val="0"/>
                      <w:sz w:val="24"/>
                      <w:highlight w:val="none"/>
                    </w:rPr>
                  </w:pPr>
                  <w:r>
                    <w:rPr>
                      <w:color w:val="auto"/>
                      <w:highlight w:val="none"/>
                    </w:rPr>
                    <w:t>PM</w:t>
                  </w:r>
                  <w:r>
                    <w:rPr>
                      <w:color w:val="auto"/>
                      <w:highlight w:val="none"/>
                      <w:vertAlign w:val="subscript"/>
                    </w:rPr>
                    <w:t>2.5</w:t>
                  </w:r>
                </w:p>
              </w:tc>
              <w:tc>
                <w:tcPr>
                  <w:tcW w:w="1005" w:type="dxa"/>
                  <w:vMerge w:val="continue"/>
                  <w:vAlign w:val="center"/>
                </w:tcPr>
                <w:p>
                  <w:pPr>
                    <w:jc w:val="center"/>
                    <w:rPr>
                      <w:b/>
                      <w:color w:val="auto"/>
                      <w:kern w:val="0"/>
                      <w:sz w:val="24"/>
                      <w:highlight w:val="none"/>
                    </w:rPr>
                  </w:pPr>
                </w:p>
              </w:tc>
              <w:tc>
                <w:tcPr>
                  <w:tcW w:w="1033" w:type="dxa"/>
                  <w:vAlign w:val="center"/>
                </w:tcPr>
                <w:p>
                  <w:pPr>
                    <w:jc w:val="center"/>
                    <w:rPr>
                      <w:b/>
                      <w:color w:val="auto"/>
                      <w:kern w:val="0"/>
                      <w:sz w:val="24"/>
                      <w:highlight w:val="none"/>
                    </w:rPr>
                  </w:pPr>
                  <w:r>
                    <w:rPr>
                      <w:color w:val="auto"/>
                      <w:szCs w:val="21"/>
                      <w:highlight w:val="none"/>
                    </w:rPr>
                    <w:t>——</w:t>
                  </w:r>
                </w:p>
              </w:tc>
              <w:tc>
                <w:tcPr>
                  <w:tcW w:w="906" w:type="dxa"/>
                  <w:vAlign w:val="center"/>
                </w:tcPr>
                <w:p>
                  <w:pPr>
                    <w:jc w:val="center"/>
                    <w:rPr>
                      <w:b/>
                      <w:color w:val="auto"/>
                      <w:kern w:val="0"/>
                      <w:sz w:val="24"/>
                      <w:highlight w:val="none"/>
                    </w:rPr>
                  </w:pPr>
                  <w:r>
                    <w:rPr>
                      <w:color w:val="auto"/>
                      <w:szCs w:val="21"/>
                      <w:highlight w:val="none"/>
                    </w:rPr>
                    <w:t>75</w:t>
                  </w:r>
                </w:p>
              </w:tc>
              <w:tc>
                <w:tcPr>
                  <w:tcW w:w="1076" w:type="dxa"/>
                  <w:vAlign w:val="center"/>
                </w:tcPr>
                <w:p>
                  <w:pPr>
                    <w:jc w:val="center"/>
                    <w:rPr>
                      <w:b/>
                      <w:color w:val="auto"/>
                      <w:kern w:val="0"/>
                      <w:sz w:val="24"/>
                      <w:highlight w:val="none"/>
                    </w:rPr>
                  </w:pPr>
                  <w:r>
                    <w:rPr>
                      <w:color w:val="auto"/>
                      <w:szCs w:val="21"/>
                      <w:highlight w:val="none"/>
                    </w:rPr>
                    <w:t>35</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27" w:type="dxa"/>
                  <w:vMerge w:val="continue"/>
                  <w:vAlign w:val="center"/>
                </w:tcPr>
                <w:p>
                  <w:pPr>
                    <w:jc w:val="center"/>
                    <w:rPr>
                      <w:b/>
                      <w:color w:val="auto"/>
                      <w:kern w:val="0"/>
                      <w:sz w:val="24"/>
                      <w:highlight w:val="none"/>
                    </w:rPr>
                  </w:pPr>
                </w:p>
              </w:tc>
              <w:tc>
                <w:tcPr>
                  <w:tcW w:w="1181" w:type="dxa"/>
                  <w:vMerge w:val="continue"/>
                  <w:vAlign w:val="center"/>
                </w:tcPr>
                <w:p>
                  <w:pPr>
                    <w:jc w:val="center"/>
                    <w:rPr>
                      <w:b/>
                      <w:color w:val="auto"/>
                      <w:kern w:val="0"/>
                      <w:sz w:val="24"/>
                      <w:highlight w:val="none"/>
                    </w:rPr>
                  </w:pPr>
                </w:p>
              </w:tc>
              <w:tc>
                <w:tcPr>
                  <w:tcW w:w="1004" w:type="dxa"/>
                  <w:vMerge w:val="continue"/>
                  <w:vAlign w:val="center"/>
                </w:tcPr>
                <w:p>
                  <w:pPr>
                    <w:jc w:val="center"/>
                    <w:rPr>
                      <w:b/>
                      <w:color w:val="auto"/>
                      <w:kern w:val="0"/>
                      <w:sz w:val="24"/>
                      <w:highlight w:val="none"/>
                    </w:rPr>
                  </w:pPr>
                </w:p>
              </w:tc>
              <w:tc>
                <w:tcPr>
                  <w:tcW w:w="1005" w:type="dxa"/>
                  <w:vAlign w:val="center"/>
                </w:tcPr>
                <w:p>
                  <w:pPr>
                    <w:jc w:val="center"/>
                    <w:rPr>
                      <w:b/>
                      <w:color w:val="auto"/>
                      <w:kern w:val="0"/>
                      <w:sz w:val="24"/>
                      <w:highlight w:val="none"/>
                    </w:rPr>
                  </w:pPr>
                  <w:r>
                    <w:rPr>
                      <w:color w:val="auto"/>
                      <w:highlight w:val="none"/>
                    </w:rPr>
                    <w:t>CO</w:t>
                  </w:r>
                </w:p>
              </w:tc>
              <w:tc>
                <w:tcPr>
                  <w:tcW w:w="1005" w:type="dxa"/>
                  <w:vMerge w:val="continue"/>
                  <w:vAlign w:val="center"/>
                </w:tcPr>
                <w:p>
                  <w:pPr>
                    <w:jc w:val="center"/>
                    <w:rPr>
                      <w:b/>
                      <w:color w:val="auto"/>
                      <w:kern w:val="0"/>
                      <w:sz w:val="24"/>
                      <w:highlight w:val="none"/>
                    </w:rPr>
                  </w:pPr>
                </w:p>
              </w:tc>
              <w:tc>
                <w:tcPr>
                  <w:tcW w:w="1033" w:type="dxa"/>
                  <w:vAlign w:val="center"/>
                </w:tcPr>
                <w:p>
                  <w:pPr>
                    <w:jc w:val="center"/>
                    <w:rPr>
                      <w:b/>
                      <w:color w:val="auto"/>
                      <w:kern w:val="0"/>
                      <w:sz w:val="24"/>
                      <w:highlight w:val="none"/>
                    </w:rPr>
                  </w:pPr>
                  <w:r>
                    <w:rPr>
                      <w:color w:val="auto"/>
                      <w:szCs w:val="21"/>
                      <w:highlight w:val="none"/>
                    </w:rPr>
                    <w:t>10000</w:t>
                  </w:r>
                </w:p>
              </w:tc>
              <w:tc>
                <w:tcPr>
                  <w:tcW w:w="906" w:type="dxa"/>
                  <w:vAlign w:val="center"/>
                </w:tcPr>
                <w:p>
                  <w:pPr>
                    <w:jc w:val="center"/>
                    <w:rPr>
                      <w:b/>
                      <w:color w:val="auto"/>
                      <w:kern w:val="0"/>
                      <w:sz w:val="24"/>
                      <w:highlight w:val="none"/>
                    </w:rPr>
                  </w:pPr>
                  <w:r>
                    <w:rPr>
                      <w:color w:val="auto"/>
                      <w:szCs w:val="21"/>
                      <w:highlight w:val="none"/>
                    </w:rPr>
                    <w:t>4000</w:t>
                  </w:r>
                </w:p>
              </w:tc>
              <w:tc>
                <w:tcPr>
                  <w:tcW w:w="1076" w:type="dxa"/>
                  <w:vAlign w:val="center"/>
                </w:tcPr>
                <w:p>
                  <w:pPr>
                    <w:jc w:val="center"/>
                    <w:rPr>
                      <w:b/>
                      <w:color w:val="auto"/>
                      <w:kern w:val="0"/>
                      <w:sz w:val="24"/>
                      <w:highlight w:val="none"/>
                    </w:rPr>
                  </w:pPr>
                  <w:r>
                    <w:rPr>
                      <w:color w:val="auto"/>
                      <w:szCs w:val="21"/>
                      <w:highlight w:val="none"/>
                    </w:rPr>
                    <w:t>——</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27" w:type="dxa"/>
                  <w:vMerge w:val="continue"/>
                  <w:vAlign w:val="center"/>
                </w:tcPr>
                <w:p>
                  <w:pPr>
                    <w:jc w:val="center"/>
                    <w:rPr>
                      <w:b/>
                      <w:color w:val="auto"/>
                      <w:kern w:val="0"/>
                      <w:sz w:val="24"/>
                      <w:highlight w:val="none"/>
                    </w:rPr>
                  </w:pPr>
                </w:p>
              </w:tc>
              <w:tc>
                <w:tcPr>
                  <w:tcW w:w="1181" w:type="dxa"/>
                  <w:vMerge w:val="continue"/>
                  <w:vAlign w:val="center"/>
                </w:tcPr>
                <w:p>
                  <w:pPr>
                    <w:jc w:val="center"/>
                    <w:rPr>
                      <w:b/>
                      <w:color w:val="auto"/>
                      <w:kern w:val="0"/>
                      <w:sz w:val="24"/>
                      <w:highlight w:val="none"/>
                    </w:rPr>
                  </w:pPr>
                </w:p>
              </w:tc>
              <w:tc>
                <w:tcPr>
                  <w:tcW w:w="1004" w:type="dxa"/>
                  <w:vMerge w:val="continue"/>
                  <w:vAlign w:val="center"/>
                </w:tcPr>
                <w:p>
                  <w:pPr>
                    <w:jc w:val="center"/>
                    <w:rPr>
                      <w:b/>
                      <w:color w:val="auto"/>
                      <w:kern w:val="0"/>
                      <w:sz w:val="24"/>
                      <w:highlight w:val="none"/>
                    </w:rPr>
                  </w:pPr>
                </w:p>
              </w:tc>
              <w:tc>
                <w:tcPr>
                  <w:tcW w:w="1005" w:type="dxa"/>
                  <w:vAlign w:val="center"/>
                </w:tcPr>
                <w:p>
                  <w:pPr>
                    <w:jc w:val="center"/>
                    <w:rPr>
                      <w:b/>
                      <w:color w:val="auto"/>
                      <w:kern w:val="0"/>
                      <w:sz w:val="24"/>
                      <w:highlight w:val="none"/>
                    </w:rPr>
                  </w:pPr>
                  <w:r>
                    <w:rPr>
                      <w:color w:val="auto"/>
                      <w:highlight w:val="none"/>
                    </w:rPr>
                    <w:t>O</w:t>
                  </w:r>
                  <w:r>
                    <w:rPr>
                      <w:color w:val="auto"/>
                      <w:highlight w:val="none"/>
                      <w:vertAlign w:val="subscript"/>
                    </w:rPr>
                    <w:t>3</w:t>
                  </w:r>
                </w:p>
              </w:tc>
              <w:tc>
                <w:tcPr>
                  <w:tcW w:w="1005" w:type="dxa"/>
                  <w:vMerge w:val="continue"/>
                  <w:vAlign w:val="center"/>
                </w:tcPr>
                <w:p>
                  <w:pPr>
                    <w:jc w:val="center"/>
                    <w:rPr>
                      <w:b/>
                      <w:color w:val="auto"/>
                      <w:kern w:val="0"/>
                      <w:sz w:val="24"/>
                      <w:highlight w:val="none"/>
                    </w:rPr>
                  </w:pPr>
                </w:p>
              </w:tc>
              <w:tc>
                <w:tcPr>
                  <w:tcW w:w="1033" w:type="dxa"/>
                  <w:vAlign w:val="center"/>
                </w:tcPr>
                <w:p>
                  <w:pPr>
                    <w:jc w:val="center"/>
                    <w:rPr>
                      <w:b/>
                      <w:color w:val="auto"/>
                      <w:kern w:val="0"/>
                      <w:sz w:val="24"/>
                      <w:highlight w:val="none"/>
                    </w:rPr>
                  </w:pPr>
                  <w:r>
                    <w:rPr>
                      <w:color w:val="auto"/>
                      <w:szCs w:val="21"/>
                      <w:highlight w:val="none"/>
                    </w:rPr>
                    <w:t>160</w:t>
                  </w:r>
                </w:p>
              </w:tc>
              <w:tc>
                <w:tcPr>
                  <w:tcW w:w="906" w:type="dxa"/>
                  <w:vAlign w:val="center"/>
                </w:tcPr>
                <w:p>
                  <w:pPr>
                    <w:jc w:val="center"/>
                    <w:rPr>
                      <w:b/>
                      <w:color w:val="auto"/>
                      <w:kern w:val="0"/>
                      <w:sz w:val="24"/>
                      <w:highlight w:val="none"/>
                    </w:rPr>
                  </w:pPr>
                  <w:r>
                    <w:rPr>
                      <w:color w:val="auto"/>
                      <w:szCs w:val="21"/>
                      <w:highlight w:val="none"/>
                    </w:rPr>
                    <w:t>——</w:t>
                  </w:r>
                </w:p>
              </w:tc>
              <w:tc>
                <w:tcPr>
                  <w:tcW w:w="1076" w:type="dxa"/>
                  <w:vAlign w:val="center"/>
                </w:tcPr>
                <w:p>
                  <w:pPr>
                    <w:jc w:val="center"/>
                    <w:rPr>
                      <w:b/>
                      <w:color w:val="auto"/>
                      <w:kern w:val="0"/>
                      <w:sz w:val="24"/>
                      <w:highlight w:val="none"/>
                    </w:rPr>
                  </w:pPr>
                  <w:r>
                    <w:rPr>
                      <w:color w:val="auto"/>
                      <w:szCs w:val="21"/>
                      <w:highlight w:val="none"/>
                    </w:rPr>
                    <w:t>——</w:t>
                  </w:r>
                </w:p>
              </w:tc>
            </w:tr>
          </w:tbl>
          <w:p>
            <w:pPr>
              <w:autoSpaceDE w:val="0"/>
              <w:autoSpaceDN w:val="0"/>
              <w:adjustRightInd w:val="0"/>
              <w:snapToGrid w:val="0"/>
              <w:spacing w:line="400" w:lineRule="atLeast"/>
              <w:ind w:firstLine="482" w:firstLineChars="200"/>
              <w:jc w:val="left"/>
              <w:rPr>
                <w:b/>
                <w:color w:val="auto"/>
                <w:kern w:val="0"/>
                <w:sz w:val="24"/>
                <w:highlight w:val="none"/>
              </w:rPr>
            </w:pPr>
            <w:r>
              <w:rPr>
                <w:b/>
                <w:color w:val="auto"/>
                <w:kern w:val="0"/>
                <w:sz w:val="24"/>
                <w:highlight w:val="none"/>
              </w:rPr>
              <w:t>2、地表水环境质量标准</w:t>
            </w:r>
          </w:p>
          <w:p>
            <w:pPr>
              <w:adjustRightInd w:val="0"/>
              <w:snapToGrid w:val="0"/>
              <w:spacing w:line="400" w:lineRule="atLeast"/>
              <w:ind w:firstLine="480" w:firstLineChars="200"/>
              <w:rPr>
                <w:color w:val="auto"/>
                <w:sz w:val="24"/>
                <w:highlight w:val="none"/>
              </w:rPr>
            </w:pPr>
            <w:r>
              <w:rPr>
                <w:color w:val="auto"/>
                <w:sz w:val="24"/>
                <w:highlight w:val="none"/>
              </w:rPr>
              <w:t>根据《</w:t>
            </w:r>
            <w:r>
              <w:rPr>
                <w:rFonts w:hint="eastAsia"/>
                <w:color w:val="auto"/>
                <w:sz w:val="24"/>
                <w:highlight w:val="none"/>
              </w:rPr>
              <w:t>江苏省地表水（环境）功能区划</w:t>
            </w:r>
            <w:r>
              <w:rPr>
                <w:color w:val="auto"/>
                <w:sz w:val="24"/>
                <w:highlight w:val="none"/>
              </w:rPr>
              <w:t>》</w:t>
            </w:r>
            <w:r>
              <w:rPr>
                <w:rFonts w:hint="eastAsia"/>
                <w:color w:val="auto"/>
                <w:sz w:val="24"/>
                <w:highlight w:val="none"/>
              </w:rPr>
              <w:t>（2021—2030年）（苏环办〔2022〕82号）</w:t>
            </w:r>
            <w:r>
              <w:rPr>
                <w:color w:val="auto"/>
                <w:sz w:val="24"/>
                <w:highlight w:val="none"/>
              </w:rPr>
              <w:t>，项目周边</w:t>
            </w:r>
            <w:r>
              <w:rPr>
                <w:rFonts w:hint="eastAsia"/>
                <w:color w:val="auto"/>
                <w:sz w:val="24"/>
                <w:highlight w:val="none"/>
              </w:rPr>
              <w:t>水体外塘河</w:t>
            </w:r>
            <w:r>
              <w:rPr>
                <w:color w:val="auto"/>
                <w:sz w:val="24"/>
                <w:highlight w:val="none"/>
              </w:rPr>
              <w:t>执行《地表水环境质量标准》（GB3838-2002）Ⅳ类标准。</w:t>
            </w:r>
          </w:p>
          <w:p>
            <w:pPr>
              <w:spacing w:line="400" w:lineRule="atLeast"/>
              <w:jc w:val="center"/>
              <w:rPr>
                <w:b/>
                <w:bCs/>
                <w:color w:val="auto"/>
                <w:szCs w:val="21"/>
                <w:highlight w:val="none"/>
              </w:rPr>
            </w:pPr>
            <w:r>
              <w:rPr>
                <w:b/>
                <w:bCs/>
                <w:color w:val="auto"/>
                <w:szCs w:val="21"/>
                <w:highlight w:val="none"/>
              </w:rPr>
              <w:t>表3-</w:t>
            </w:r>
            <w:r>
              <w:rPr>
                <w:rFonts w:hint="eastAsia"/>
                <w:b/>
                <w:bCs/>
                <w:color w:val="auto"/>
                <w:szCs w:val="21"/>
                <w:highlight w:val="none"/>
              </w:rPr>
              <w:t>9</w:t>
            </w:r>
            <w:r>
              <w:rPr>
                <w:b/>
                <w:bCs/>
                <w:color w:val="auto"/>
                <w:szCs w:val="21"/>
                <w:highlight w:val="none"/>
              </w:rPr>
              <w:t>地表水环境质量标准限值表</w:t>
            </w:r>
          </w:p>
          <w:tbl>
            <w:tblPr>
              <w:tblStyle w:val="18"/>
              <w:tblW w:w="7973" w:type="dxa"/>
              <w:tblInd w:w="5" w:type="dxa"/>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432"/>
              <w:gridCol w:w="1400"/>
              <w:gridCol w:w="1300"/>
              <w:gridCol w:w="751"/>
              <w:gridCol w:w="1214"/>
            </w:tblGrid>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trPr>
              <w:tc>
                <w:tcPr>
                  <w:tcW w:w="876" w:type="dxa"/>
                  <w:tcBorders>
                    <w:top w:val="single" w:color="auto" w:sz="12" w:space="0"/>
                  </w:tcBorders>
                  <w:vAlign w:val="center"/>
                </w:tcPr>
                <w:p>
                  <w:pPr>
                    <w:jc w:val="center"/>
                    <w:rPr>
                      <w:b/>
                      <w:bCs/>
                      <w:color w:val="auto"/>
                      <w:szCs w:val="21"/>
                      <w:highlight w:val="none"/>
                    </w:rPr>
                  </w:pPr>
                  <w:r>
                    <w:rPr>
                      <w:b/>
                      <w:bCs/>
                      <w:color w:val="auto"/>
                      <w:szCs w:val="21"/>
                      <w:highlight w:val="none"/>
                    </w:rPr>
                    <w:t>水域名</w:t>
                  </w:r>
                </w:p>
              </w:tc>
              <w:tc>
                <w:tcPr>
                  <w:tcW w:w="2432" w:type="dxa"/>
                  <w:tcBorders>
                    <w:top w:val="single" w:color="auto" w:sz="12" w:space="0"/>
                  </w:tcBorders>
                  <w:vAlign w:val="center"/>
                </w:tcPr>
                <w:p>
                  <w:pPr>
                    <w:jc w:val="center"/>
                    <w:rPr>
                      <w:b/>
                      <w:bCs/>
                      <w:color w:val="auto"/>
                      <w:szCs w:val="21"/>
                      <w:highlight w:val="none"/>
                    </w:rPr>
                  </w:pPr>
                  <w:r>
                    <w:rPr>
                      <w:b/>
                      <w:bCs/>
                      <w:color w:val="auto"/>
                      <w:szCs w:val="21"/>
                      <w:highlight w:val="none"/>
                    </w:rPr>
                    <w:t>执行标准</w:t>
                  </w:r>
                </w:p>
              </w:tc>
              <w:tc>
                <w:tcPr>
                  <w:tcW w:w="1400" w:type="dxa"/>
                  <w:tcBorders>
                    <w:top w:val="single" w:color="auto" w:sz="12" w:space="0"/>
                  </w:tcBorders>
                  <w:vAlign w:val="center"/>
                </w:tcPr>
                <w:p>
                  <w:pPr>
                    <w:jc w:val="center"/>
                    <w:rPr>
                      <w:b/>
                      <w:bCs/>
                      <w:color w:val="auto"/>
                      <w:szCs w:val="21"/>
                      <w:highlight w:val="none"/>
                    </w:rPr>
                  </w:pPr>
                  <w:r>
                    <w:rPr>
                      <w:b/>
                      <w:bCs/>
                      <w:color w:val="auto"/>
                      <w:szCs w:val="21"/>
                      <w:highlight w:val="none"/>
                    </w:rPr>
                    <w:t>表号及级别</w:t>
                  </w:r>
                </w:p>
              </w:tc>
              <w:tc>
                <w:tcPr>
                  <w:tcW w:w="1300" w:type="dxa"/>
                  <w:tcBorders>
                    <w:top w:val="single" w:color="auto" w:sz="12" w:space="0"/>
                  </w:tcBorders>
                  <w:vAlign w:val="center"/>
                </w:tcPr>
                <w:p>
                  <w:pPr>
                    <w:jc w:val="center"/>
                    <w:rPr>
                      <w:b/>
                      <w:bCs/>
                      <w:color w:val="auto"/>
                      <w:szCs w:val="21"/>
                      <w:highlight w:val="none"/>
                    </w:rPr>
                  </w:pPr>
                  <w:r>
                    <w:rPr>
                      <w:b/>
                      <w:bCs/>
                      <w:color w:val="auto"/>
                      <w:szCs w:val="21"/>
                      <w:highlight w:val="none"/>
                    </w:rPr>
                    <w:t>污染物指标</w:t>
                  </w:r>
                </w:p>
              </w:tc>
              <w:tc>
                <w:tcPr>
                  <w:tcW w:w="751" w:type="dxa"/>
                  <w:tcBorders>
                    <w:top w:val="single" w:color="auto" w:sz="12" w:space="0"/>
                  </w:tcBorders>
                  <w:vAlign w:val="center"/>
                </w:tcPr>
                <w:p>
                  <w:pPr>
                    <w:jc w:val="center"/>
                    <w:rPr>
                      <w:b/>
                      <w:bCs/>
                      <w:color w:val="auto"/>
                      <w:szCs w:val="21"/>
                      <w:highlight w:val="none"/>
                    </w:rPr>
                  </w:pPr>
                  <w:r>
                    <w:rPr>
                      <w:b/>
                      <w:bCs/>
                      <w:color w:val="auto"/>
                      <w:szCs w:val="21"/>
                      <w:highlight w:val="none"/>
                    </w:rPr>
                    <w:t>单位</w:t>
                  </w:r>
                </w:p>
              </w:tc>
              <w:tc>
                <w:tcPr>
                  <w:tcW w:w="1214" w:type="dxa"/>
                  <w:tcBorders>
                    <w:top w:val="single" w:color="auto" w:sz="12" w:space="0"/>
                  </w:tcBorders>
                  <w:vAlign w:val="center"/>
                </w:tcPr>
                <w:p>
                  <w:pPr>
                    <w:jc w:val="center"/>
                    <w:rPr>
                      <w:b/>
                      <w:bCs/>
                      <w:color w:val="auto"/>
                      <w:szCs w:val="21"/>
                      <w:highlight w:val="none"/>
                    </w:rPr>
                  </w:pPr>
                  <w:r>
                    <w:rPr>
                      <w:b/>
                      <w:bCs/>
                      <w:color w:val="auto"/>
                      <w:szCs w:val="21"/>
                      <w:highlight w:val="none"/>
                    </w:rPr>
                    <w:t>标准限值</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restart"/>
                  <w:vAlign w:val="center"/>
                </w:tcPr>
                <w:p>
                  <w:pPr>
                    <w:jc w:val="center"/>
                    <w:rPr>
                      <w:b/>
                      <w:bCs/>
                      <w:color w:val="auto"/>
                      <w:szCs w:val="21"/>
                      <w:highlight w:val="none"/>
                    </w:rPr>
                  </w:pPr>
                  <w:r>
                    <w:rPr>
                      <w:rFonts w:hint="eastAsia"/>
                      <w:color w:val="auto"/>
                      <w:szCs w:val="21"/>
                      <w:highlight w:val="none"/>
                    </w:rPr>
                    <w:t>外塘河</w:t>
                  </w:r>
                </w:p>
              </w:tc>
              <w:tc>
                <w:tcPr>
                  <w:tcW w:w="2432" w:type="dxa"/>
                  <w:vMerge w:val="restart"/>
                  <w:vAlign w:val="center"/>
                </w:tcPr>
                <w:p>
                  <w:pPr>
                    <w:jc w:val="center"/>
                    <w:rPr>
                      <w:color w:val="auto"/>
                      <w:szCs w:val="21"/>
                      <w:highlight w:val="none"/>
                    </w:rPr>
                  </w:pPr>
                  <w:r>
                    <w:rPr>
                      <w:color w:val="auto"/>
                      <w:szCs w:val="21"/>
                      <w:highlight w:val="none"/>
                    </w:rPr>
                    <w:t>《地表水环境质量标准》</w:t>
                  </w:r>
                </w:p>
                <w:p>
                  <w:pPr>
                    <w:jc w:val="center"/>
                    <w:rPr>
                      <w:b/>
                      <w:bCs/>
                      <w:color w:val="auto"/>
                      <w:szCs w:val="21"/>
                      <w:highlight w:val="none"/>
                    </w:rPr>
                  </w:pPr>
                  <w:r>
                    <w:rPr>
                      <w:color w:val="auto"/>
                      <w:szCs w:val="21"/>
                      <w:highlight w:val="none"/>
                    </w:rPr>
                    <w:t>（GB3838-2002）</w:t>
                  </w:r>
                </w:p>
              </w:tc>
              <w:tc>
                <w:tcPr>
                  <w:tcW w:w="1400" w:type="dxa"/>
                  <w:vMerge w:val="restart"/>
                  <w:vAlign w:val="center"/>
                </w:tcPr>
                <w:p>
                  <w:pPr>
                    <w:jc w:val="center"/>
                    <w:rPr>
                      <w:color w:val="auto"/>
                      <w:szCs w:val="21"/>
                      <w:highlight w:val="none"/>
                    </w:rPr>
                  </w:pPr>
                  <w:r>
                    <w:rPr>
                      <w:color w:val="auto"/>
                      <w:szCs w:val="21"/>
                      <w:highlight w:val="none"/>
                    </w:rPr>
                    <w:t>表1</w:t>
                  </w:r>
                </w:p>
                <w:p>
                  <w:pPr>
                    <w:jc w:val="center"/>
                    <w:rPr>
                      <w:b/>
                      <w:bCs/>
                      <w:color w:val="auto"/>
                      <w:szCs w:val="21"/>
                      <w:highlight w:val="none"/>
                    </w:rPr>
                  </w:pPr>
                  <w:r>
                    <w:rPr>
                      <w:color w:val="auto"/>
                      <w:szCs w:val="21"/>
                      <w:highlight w:val="none"/>
                    </w:rPr>
                    <w:t>Ⅳ类</w:t>
                  </w:r>
                </w:p>
              </w:tc>
              <w:tc>
                <w:tcPr>
                  <w:tcW w:w="1300" w:type="dxa"/>
                  <w:vAlign w:val="center"/>
                </w:tcPr>
                <w:p>
                  <w:pPr>
                    <w:jc w:val="center"/>
                    <w:rPr>
                      <w:b/>
                      <w:bCs/>
                      <w:color w:val="auto"/>
                      <w:szCs w:val="21"/>
                      <w:highlight w:val="none"/>
                    </w:rPr>
                  </w:pPr>
                  <w:r>
                    <w:rPr>
                      <w:color w:val="auto"/>
                      <w:szCs w:val="21"/>
                      <w:highlight w:val="none"/>
                    </w:rPr>
                    <w:t>PH</w:t>
                  </w:r>
                </w:p>
              </w:tc>
              <w:tc>
                <w:tcPr>
                  <w:tcW w:w="751" w:type="dxa"/>
                  <w:vAlign w:val="center"/>
                </w:tcPr>
                <w:p>
                  <w:pPr>
                    <w:jc w:val="center"/>
                    <w:rPr>
                      <w:b/>
                      <w:bCs/>
                      <w:color w:val="auto"/>
                      <w:szCs w:val="21"/>
                      <w:highlight w:val="none"/>
                    </w:rPr>
                  </w:pPr>
                  <w:r>
                    <w:rPr>
                      <w:color w:val="auto"/>
                      <w:szCs w:val="21"/>
                      <w:highlight w:val="none"/>
                    </w:rPr>
                    <w:t>—</w:t>
                  </w:r>
                </w:p>
              </w:tc>
              <w:tc>
                <w:tcPr>
                  <w:tcW w:w="1214" w:type="dxa"/>
                  <w:vAlign w:val="center"/>
                </w:tcPr>
                <w:p>
                  <w:pPr>
                    <w:jc w:val="center"/>
                    <w:rPr>
                      <w:b/>
                      <w:bCs/>
                      <w:color w:val="auto"/>
                      <w:szCs w:val="21"/>
                      <w:highlight w:val="none"/>
                    </w:rPr>
                  </w:pPr>
                  <w:r>
                    <w:rPr>
                      <w:color w:val="auto"/>
                      <w:szCs w:val="21"/>
                      <w:highlight w:val="none"/>
                    </w:rPr>
                    <w:t>6~9</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pPr>
                    <w:ind w:firstLine="480"/>
                    <w:jc w:val="center"/>
                    <w:rPr>
                      <w:b/>
                      <w:bCs/>
                      <w:color w:val="auto"/>
                      <w:szCs w:val="21"/>
                      <w:highlight w:val="none"/>
                    </w:rPr>
                  </w:pPr>
                </w:p>
              </w:tc>
              <w:tc>
                <w:tcPr>
                  <w:tcW w:w="2432" w:type="dxa"/>
                  <w:vMerge w:val="continue"/>
                  <w:vAlign w:val="center"/>
                </w:tcPr>
                <w:p>
                  <w:pPr>
                    <w:ind w:firstLine="480"/>
                    <w:jc w:val="center"/>
                    <w:rPr>
                      <w:b/>
                      <w:bCs/>
                      <w:color w:val="auto"/>
                      <w:szCs w:val="21"/>
                      <w:highlight w:val="none"/>
                    </w:rPr>
                  </w:pPr>
                </w:p>
              </w:tc>
              <w:tc>
                <w:tcPr>
                  <w:tcW w:w="1400" w:type="dxa"/>
                  <w:vMerge w:val="continue"/>
                  <w:vAlign w:val="center"/>
                </w:tcPr>
                <w:p>
                  <w:pPr>
                    <w:ind w:firstLine="480"/>
                    <w:jc w:val="center"/>
                    <w:rPr>
                      <w:b/>
                      <w:bCs/>
                      <w:color w:val="auto"/>
                      <w:szCs w:val="21"/>
                      <w:highlight w:val="none"/>
                    </w:rPr>
                  </w:pPr>
                </w:p>
              </w:tc>
              <w:tc>
                <w:tcPr>
                  <w:tcW w:w="1300" w:type="dxa"/>
                  <w:vAlign w:val="center"/>
                </w:tcPr>
                <w:p>
                  <w:pPr>
                    <w:jc w:val="center"/>
                    <w:rPr>
                      <w:b/>
                      <w:bCs/>
                      <w:color w:val="auto"/>
                      <w:szCs w:val="21"/>
                      <w:highlight w:val="none"/>
                    </w:rPr>
                  </w:pPr>
                  <w:r>
                    <w:rPr>
                      <w:color w:val="auto"/>
                      <w:szCs w:val="21"/>
                      <w:highlight w:val="none"/>
                    </w:rPr>
                    <w:t>COD</w:t>
                  </w:r>
                </w:p>
              </w:tc>
              <w:tc>
                <w:tcPr>
                  <w:tcW w:w="751" w:type="dxa"/>
                  <w:vMerge w:val="restart"/>
                  <w:vAlign w:val="center"/>
                </w:tcPr>
                <w:p>
                  <w:pPr>
                    <w:jc w:val="center"/>
                    <w:rPr>
                      <w:b/>
                      <w:bCs/>
                      <w:color w:val="auto"/>
                      <w:szCs w:val="21"/>
                      <w:highlight w:val="none"/>
                    </w:rPr>
                  </w:pPr>
                  <w:r>
                    <w:rPr>
                      <w:color w:val="auto"/>
                      <w:szCs w:val="21"/>
                      <w:highlight w:val="none"/>
                    </w:rPr>
                    <w:t>mg/L</w:t>
                  </w:r>
                </w:p>
              </w:tc>
              <w:tc>
                <w:tcPr>
                  <w:tcW w:w="1214" w:type="dxa"/>
                  <w:vAlign w:val="center"/>
                </w:tcPr>
                <w:p>
                  <w:pPr>
                    <w:jc w:val="center"/>
                    <w:rPr>
                      <w:b/>
                      <w:bCs/>
                      <w:color w:val="auto"/>
                      <w:szCs w:val="21"/>
                      <w:highlight w:val="none"/>
                    </w:rPr>
                  </w:pPr>
                  <w:r>
                    <w:rPr>
                      <w:color w:val="auto"/>
                      <w:szCs w:val="21"/>
                      <w:highlight w:val="none"/>
                    </w:rPr>
                    <w:t>≤30</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pPr>
                    <w:ind w:firstLine="480"/>
                    <w:jc w:val="center"/>
                    <w:rPr>
                      <w:b/>
                      <w:bCs/>
                      <w:color w:val="auto"/>
                      <w:szCs w:val="21"/>
                      <w:highlight w:val="none"/>
                    </w:rPr>
                  </w:pPr>
                </w:p>
              </w:tc>
              <w:tc>
                <w:tcPr>
                  <w:tcW w:w="2432" w:type="dxa"/>
                  <w:vMerge w:val="continue"/>
                  <w:vAlign w:val="center"/>
                </w:tcPr>
                <w:p>
                  <w:pPr>
                    <w:ind w:firstLine="480"/>
                    <w:jc w:val="center"/>
                    <w:rPr>
                      <w:b/>
                      <w:bCs/>
                      <w:color w:val="auto"/>
                      <w:szCs w:val="21"/>
                      <w:highlight w:val="none"/>
                    </w:rPr>
                  </w:pPr>
                </w:p>
              </w:tc>
              <w:tc>
                <w:tcPr>
                  <w:tcW w:w="1400" w:type="dxa"/>
                  <w:vMerge w:val="continue"/>
                  <w:vAlign w:val="center"/>
                </w:tcPr>
                <w:p>
                  <w:pPr>
                    <w:ind w:firstLine="480"/>
                    <w:jc w:val="center"/>
                    <w:rPr>
                      <w:b/>
                      <w:bCs/>
                      <w:color w:val="auto"/>
                      <w:szCs w:val="21"/>
                      <w:highlight w:val="none"/>
                    </w:rPr>
                  </w:pPr>
                </w:p>
              </w:tc>
              <w:tc>
                <w:tcPr>
                  <w:tcW w:w="1300" w:type="dxa"/>
                  <w:vAlign w:val="center"/>
                </w:tcPr>
                <w:p>
                  <w:pPr>
                    <w:jc w:val="center"/>
                    <w:rPr>
                      <w:b/>
                      <w:bCs/>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c>
                <w:tcPr>
                  <w:tcW w:w="751" w:type="dxa"/>
                  <w:vMerge w:val="continue"/>
                  <w:vAlign w:val="center"/>
                </w:tcPr>
                <w:p>
                  <w:pPr>
                    <w:ind w:firstLine="480"/>
                    <w:jc w:val="center"/>
                    <w:rPr>
                      <w:b/>
                      <w:bCs/>
                      <w:color w:val="auto"/>
                      <w:szCs w:val="21"/>
                      <w:highlight w:val="none"/>
                    </w:rPr>
                  </w:pPr>
                </w:p>
              </w:tc>
              <w:tc>
                <w:tcPr>
                  <w:tcW w:w="1214" w:type="dxa"/>
                  <w:vAlign w:val="center"/>
                </w:tcPr>
                <w:p>
                  <w:pPr>
                    <w:jc w:val="center"/>
                    <w:rPr>
                      <w:b/>
                      <w:bCs/>
                      <w:color w:val="auto"/>
                      <w:szCs w:val="21"/>
                      <w:highlight w:val="none"/>
                    </w:rPr>
                  </w:pPr>
                  <w:r>
                    <w:rPr>
                      <w:color w:val="auto"/>
                      <w:szCs w:val="21"/>
                      <w:highlight w:val="none"/>
                    </w:rPr>
                    <w:t>≤1.5</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pPr>
                    <w:ind w:firstLine="480"/>
                    <w:jc w:val="center"/>
                    <w:rPr>
                      <w:b/>
                      <w:bCs/>
                      <w:color w:val="auto"/>
                      <w:szCs w:val="21"/>
                      <w:highlight w:val="none"/>
                    </w:rPr>
                  </w:pPr>
                </w:p>
              </w:tc>
              <w:tc>
                <w:tcPr>
                  <w:tcW w:w="2432" w:type="dxa"/>
                  <w:vMerge w:val="continue"/>
                  <w:vAlign w:val="center"/>
                </w:tcPr>
                <w:p>
                  <w:pPr>
                    <w:ind w:firstLine="480"/>
                    <w:jc w:val="center"/>
                    <w:rPr>
                      <w:b/>
                      <w:bCs/>
                      <w:color w:val="auto"/>
                      <w:szCs w:val="21"/>
                      <w:highlight w:val="none"/>
                    </w:rPr>
                  </w:pPr>
                </w:p>
              </w:tc>
              <w:tc>
                <w:tcPr>
                  <w:tcW w:w="1400" w:type="dxa"/>
                  <w:vMerge w:val="continue"/>
                  <w:vAlign w:val="center"/>
                </w:tcPr>
                <w:p>
                  <w:pPr>
                    <w:ind w:firstLine="691" w:firstLineChars="328"/>
                    <w:rPr>
                      <w:b/>
                      <w:bCs/>
                      <w:color w:val="auto"/>
                      <w:szCs w:val="21"/>
                      <w:highlight w:val="none"/>
                    </w:rPr>
                  </w:pPr>
                </w:p>
              </w:tc>
              <w:tc>
                <w:tcPr>
                  <w:tcW w:w="1300" w:type="dxa"/>
                  <w:vAlign w:val="center"/>
                </w:tcPr>
                <w:p>
                  <w:pPr>
                    <w:jc w:val="center"/>
                    <w:rPr>
                      <w:b/>
                      <w:bCs/>
                      <w:color w:val="auto"/>
                      <w:szCs w:val="21"/>
                      <w:highlight w:val="none"/>
                    </w:rPr>
                  </w:pPr>
                  <w:r>
                    <w:rPr>
                      <w:color w:val="auto"/>
                      <w:szCs w:val="21"/>
                      <w:highlight w:val="none"/>
                    </w:rPr>
                    <w:t>TP</w:t>
                  </w:r>
                </w:p>
              </w:tc>
              <w:tc>
                <w:tcPr>
                  <w:tcW w:w="751" w:type="dxa"/>
                  <w:vMerge w:val="continue"/>
                  <w:vAlign w:val="center"/>
                </w:tcPr>
                <w:p>
                  <w:pPr>
                    <w:ind w:firstLine="480"/>
                    <w:jc w:val="center"/>
                    <w:rPr>
                      <w:b/>
                      <w:bCs/>
                      <w:color w:val="auto"/>
                      <w:szCs w:val="21"/>
                      <w:highlight w:val="none"/>
                    </w:rPr>
                  </w:pPr>
                </w:p>
              </w:tc>
              <w:tc>
                <w:tcPr>
                  <w:tcW w:w="1214" w:type="dxa"/>
                  <w:vAlign w:val="center"/>
                </w:tcPr>
                <w:p>
                  <w:pPr>
                    <w:jc w:val="center"/>
                    <w:rPr>
                      <w:b/>
                      <w:bCs/>
                      <w:color w:val="auto"/>
                      <w:szCs w:val="21"/>
                      <w:highlight w:val="none"/>
                    </w:rPr>
                  </w:pPr>
                  <w:r>
                    <w:rPr>
                      <w:color w:val="auto"/>
                      <w:szCs w:val="21"/>
                      <w:highlight w:val="none"/>
                    </w:rPr>
                    <w:t>≤0.3（0.1）</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76" w:type="dxa"/>
                  <w:vMerge w:val="continue"/>
                  <w:vAlign w:val="center"/>
                </w:tcPr>
                <w:p>
                  <w:pPr>
                    <w:ind w:firstLine="480"/>
                    <w:jc w:val="center"/>
                    <w:rPr>
                      <w:b/>
                      <w:bCs/>
                      <w:color w:val="auto"/>
                      <w:szCs w:val="21"/>
                      <w:highlight w:val="none"/>
                    </w:rPr>
                  </w:pPr>
                </w:p>
              </w:tc>
              <w:tc>
                <w:tcPr>
                  <w:tcW w:w="2432" w:type="dxa"/>
                  <w:vMerge w:val="continue"/>
                  <w:vAlign w:val="center"/>
                </w:tcPr>
                <w:p>
                  <w:pPr>
                    <w:ind w:firstLine="480"/>
                    <w:jc w:val="center"/>
                    <w:rPr>
                      <w:b/>
                      <w:bCs/>
                      <w:color w:val="auto"/>
                      <w:szCs w:val="21"/>
                      <w:highlight w:val="none"/>
                    </w:rPr>
                  </w:pPr>
                </w:p>
              </w:tc>
              <w:tc>
                <w:tcPr>
                  <w:tcW w:w="1400" w:type="dxa"/>
                  <w:vMerge w:val="continue"/>
                  <w:vAlign w:val="center"/>
                </w:tcPr>
                <w:p>
                  <w:pPr>
                    <w:ind w:firstLine="691" w:firstLineChars="328"/>
                    <w:rPr>
                      <w:b/>
                      <w:bCs/>
                      <w:color w:val="auto"/>
                      <w:szCs w:val="21"/>
                      <w:highlight w:val="none"/>
                    </w:rPr>
                  </w:pPr>
                </w:p>
              </w:tc>
              <w:tc>
                <w:tcPr>
                  <w:tcW w:w="1300" w:type="dxa"/>
                  <w:vAlign w:val="center"/>
                </w:tcPr>
                <w:p>
                  <w:pPr>
                    <w:jc w:val="center"/>
                    <w:rPr>
                      <w:b/>
                      <w:bCs/>
                      <w:color w:val="auto"/>
                      <w:szCs w:val="21"/>
                      <w:highlight w:val="none"/>
                    </w:rPr>
                  </w:pPr>
                  <w:r>
                    <w:rPr>
                      <w:rFonts w:hint="eastAsia"/>
                      <w:color w:val="auto"/>
                      <w:szCs w:val="21"/>
                      <w:highlight w:val="none"/>
                    </w:rPr>
                    <w:t>石油类</w:t>
                  </w:r>
                </w:p>
              </w:tc>
              <w:tc>
                <w:tcPr>
                  <w:tcW w:w="751" w:type="dxa"/>
                  <w:vMerge w:val="continue"/>
                  <w:vAlign w:val="center"/>
                </w:tcPr>
                <w:p>
                  <w:pPr>
                    <w:ind w:firstLine="480"/>
                    <w:jc w:val="center"/>
                    <w:rPr>
                      <w:b/>
                      <w:bCs/>
                      <w:color w:val="auto"/>
                      <w:szCs w:val="21"/>
                      <w:highlight w:val="none"/>
                    </w:rPr>
                  </w:pPr>
                </w:p>
              </w:tc>
              <w:tc>
                <w:tcPr>
                  <w:tcW w:w="1214" w:type="dxa"/>
                  <w:vAlign w:val="center"/>
                </w:tcPr>
                <w:p>
                  <w:pPr>
                    <w:jc w:val="center"/>
                    <w:rPr>
                      <w:b/>
                      <w:bCs/>
                      <w:color w:val="auto"/>
                      <w:szCs w:val="21"/>
                      <w:highlight w:val="none"/>
                    </w:rPr>
                  </w:pPr>
                  <w:r>
                    <w:rPr>
                      <w:color w:val="auto"/>
                      <w:szCs w:val="21"/>
                      <w:highlight w:val="none"/>
                    </w:rPr>
                    <w:t>≤0.</w:t>
                  </w:r>
                  <w:r>
                    <w:rPr>
                      <w:rFonts w:hint="eastAsia"/>
                      <w:color w:val="auto"/>
                      <w:szCs w:val="21"/>
                      <w:highlight w:val="none"/>
                    </w:rPr>
                    <w:t>5</w:t>
                  </w:r>
                </w:p>
              </w:tc>
            </w:tr>
          </w:tbl>
          <w:p>
            <w:pPr>
              <w:spacing w:line="360" w:lineRule="auto"/>
              <w:ind w:firstLine="482" w:firstLineChars="200"/>
              <w:rPr>
                <w:b/>
                <w:bCs/>
                <w:color w:val="auto"/>
                <w:sz w:val="24"/>
                <w:highlight w:val="none"/>
              </w:rPr>
            </w:pPr>
            <w:r>
              <w:rPr>
                <w:b/>
                <w:bCs/>
                <w:color w:val="auto"/>
                <w:sz w:val="24"/>
                <w:highlight w:val="none"/>
              </w:rPr>
              <w:t>3、声环境质量标准</w:t>
            </w:r>
          </w:p>
          <w:p>
            <w:pPr>
              <w:adjustRightInd w:val="0"/>
              <w:snapToGrid w:val="0"/>
              <w:spacing w:line="360" w:lineRule="auto"/>
              <w:ind w:firstLine="480" w:firstLineChars="200"/>
              <w:rPr>
                <w:color w:val="auto"/>
                <w:kern w:val="0"/>
                <w:sz w:val="24"/>
                <w:highlight w:val="none"/>
              </w:rPr>
            </w:pPr>
            <w:r>
              <w:rPr>
                <w:rFonts w:hint="eastAsia"/>
                <w:color w:val="auto"/>
                <w:sz w:val="24"/>
                <w:highlight w:val="none"/>
              </w:rPr>
              <w:t>根据《市政府关于印发苏州市市区声环境功能区划分规定》（苏府[2019]19号），扬东路西延均为4a类环境功能区，</w:t>
            </w:r>
            <w:r>
              <w:rPr>
                <w:color w:val="auto"/>
                <w:kern w:val="0"/>
                <w:sz w:val="24"/>
                <w:highlight w:val="none"/>
              </w:rPr>
              <w:t>执行《声环境质量标准》（GB3096-2008）</w:t>
            </w:r>
            <w:r>
              <w:rPr>
                <w:rFonts w:hint="eastAsia"/>
                <w:color w:val="auto"/>
                <w:kern w:val="0"/>
                <w:sz w:val="24"/>
                <w:highlight w:val="none"/>
              </w:rPr>
              <w:t>4a</w:t>
            </w:r>
            <w:r>
              <w:rPr>
                <w:color w:val="auto"/>
                <w:kern w:val="0"/>
                <w:sz w:val="24"/>
                <w:highlight w:val="none"/>
              </w:rPr>
              <w:t>类标准</w:t>
            </w:r>
            <w:r>
              <w:rPr>
                <w:rFonts w:hint="eastAsia"/>
                <w:color w:val="auto"/>
                <w:kern w:val="0"/>
                <w:sz w:val="24"/>
                <w:highlight w:val="none"/>
              </w:rPr>
              <w:t>。</w:t>
            </w:r>
          </w:p>
          <w:p>
            <w:pPr>
              <w:adjustRightInd w:val="0"/>
              <w:snapToGrid w:val="0"/>
              <w:spacing w:line="360" w:lineRule="auto"/>
              <w:ind w:firstLine="480" w:firstLineChars="200"/>
              <w:rPr>
                <w:color w:val="auto"/>
                <w:sz w:val="24"/>
                <w:highlight w:val="none"/>
              </w:rPr>
            </w:pPr>
            <w:r>
              <w:rPr>
                <w:rFonts w:hint="eastAsia"/>
                <w:color w:val="auto"/>
                <w:sz w:val="24"/>
                <w:highlight w:val="none"/>
              </w:rPr>
              <w:t>项目</w:t>
            </w:r>
            <w:r>
              <w:rPr>
                <w:rFonts w:hint="eastAsia"/>
                <w:color w:val="auto"/>
                <w:sz w:val="24"/>
                <w:highlight w:val="none"/>
                <w:lang w:val="en-US" w:eastAsia="zh-CN"/>
              </w:rPr>
              <w:t>周边</w:t>
            </w:r>
            <w:r>
              <w:rPr>
                <w:rFonts w:hint="eastAsia"/>
                <w:color w:val="auto"/>
                <w:sz w:val="24"/>
                <w:highlight w:val="none"/>
              </w:rPr>
              <w:t>噪声敏感点为75m处的昂内·天骄花园和155m处的日兴花园，根据“苏府[2019]19号 规定”的要求，敏感点位于《声环境质量标准》（GB3096-2008）中的</w:t>
            </w:r>
            <w:r>
              <w:rPr>
                <w:rFonts w:hint="eastAsia"/>
                <w:color w:val="auto"/>
                <w:sz w:val="24"/>
                <w:highlight w:val="none"/>
                <w:lang w:val="en-US" w:eastAsia="zh-CN"/>
              </w:rPr>
              <w:t>2</w:t>
            </w:r>
            <w:r>
              <w:rPr>
                <w:rFonts w:hint="eastAsia"/>
                <w:color w:val="auto"/>
                <w:sz w:val="24"/>
                <w:highlight w:val="none"/>
              </w:rPr>
              <w:t>类区；“苏府[2019]19号 规定”中明确：当临街建筑以高于三层楼房以上（含三层）的建筑为主，将第一排建筑物面向道路一侧的区域划为4a类声环境功能区。当临街建筑以低于三层楼房建筑（含开阔地）为主，将交通干线边界线（各级市政道路与人行道的交界线、无人行道的高架道路地面投影边界、各级公路的边界线、城市轨道交通用地边界线）外一定距离以内的区域划为4a类声环境功能区，距离的确定方法如下：相邻区域为</w:t>
            </w:r>
            <w:r>
              <w:rPr>
                <w:rFonts w:hint="eastAsia"/>
                <w:color w:val="auto"/>
                <w:sz w:val="24"/>
                <w:highlight w:val="none"/>
                <w:lang w:val="en-US" w:eastAsia="zh-CN"/>
              </w:rPr>
              <w:t>2</w:t>
            </w:r>
            <w:r>
              <w:rPr>
                <w:rFonts w:hint="eastAsia"/>
                <w:color w:val="auto"/>
                <w:sz w:val="24"/>
                <w:highlight w:val="none"/>
              </w:rPr>
              <w:t>类声环境功能区，距离为</w:t>
            </w:r>
            <w:r>
              <w:rPr>
                <w:rFonts w:hint="eastAsia"/>
                <w:color w:val="auto"/>
                <w:sz w:val="24"/>
                <w:highlight w:val="none"/>
                <w:lang w:val="en-US" w:eastAsia="zh-CN"/>
              </w:rPr>
              <w:t>40</w:t>
            </w:r>
            <w:r>
              <w:rPr>
                <w:rFonts w:hint="eastAsia"/>
                <w:color w:val="auto"/>
                <w:sz w:val="24"/>
                <w:highlight w:val="none"/>
              </w:rPr>
              <w:t>m。</w:t>
            </w:r>
          </w:p>
          <w:p>
            <w:pPr>
              <w:adjustRightInd w:val="0"/>
              <w:snapToGrid w:val="0"/>
              <w:spacing w:line="360" w:lineRule="auto"/>
              <w:ind w:firstLine="480" w:firstLineChars="200"/>
              <w:rPr>
                <w:color w:val="auto"/>
                <w:sz w:val="24"/>
                <w:highlight w:val="none"/>
              </w:rPr>
            </w:pPr>
            <w:r>
              <w:rPr>
                <w:rFonts w:hint="eastAsia"/>
                <w:color w:val="auto"/>
                <w:sz w:val="24"/>
                <w:highlight w:val="none"/>
              </w:rPr>
              <w:t>昂内·天骄花园位于</w:t>
            </w:r>
            <w:r>
              <w:rPr>
                <w:rFonts w:hint="eastAsia"/>
                <w:color w:val="auto"/>
                <w:kern w:val="0"/>
                <w:sz w:val="24"/>
                <w:highlight w:val="none"/>
              </w:rPr>
              <w:t>扬东路西延项目东北侧，</w:t>
            </w:r>
            <w:r>
              <w:rPr>
                <w:rFonts w:hint="eastAsia"/>
                <w:color w:val="auto"/>
                <w:sz w:val="24"/>
                <w:highlight w:val="none"/>
              </w:rPr>
              <w:t>总高10层，日兴花园位于</w:t>
            </w:r>
            <w:r>
              <w:rPr>
                <w:rFonts w:hint="eastAsia"/>
                <w:color w:val="auto"/>
                <w:kern w:val="0"/>
                <w:sz w:val="24"/>
                <w:highlight w:val="none"/>
              </w:rPr>
              <w:t>扬东路西延项目东南侧，</w:t>
            </w:r>
            <w:r>
              <w:rPr>
                <w:rFonts w:hint="eastAsia"/>
                <w:color w:val="auto"/>
                <w:sz w:val="24"/>
                <w:highlight w:val="none"/>
              </w:rPr>
              <w:t>总高4层，两个敏感点为</w:t>
            </w:r>
            <w:r>
              <w:rPr>
                <w:rFonts w:hint="eastAsia"/>
                <w:color w:val="auto"/>
                <w:kern w:val="0"/>
                <w:sz w:val="24"/>
                <w:highlight w:val="none"/>
              </w:rPr>
              <w:t>扬东路西延项目东侧的临街建筑</w:t>
            </w:r>
            <w:r>
              <w:rPr>
                <w:rFonts w:hint="eastAsia"/>
                <w:color w:val="auto"/>
                <w:sz w:val="24"/>
                <w:highlight w:val="none"/>
              </w:rPr>
              <w:t>，因此两个居民点临街一侧执行</w:t>
            </w:r>
            <w:r>
              <w:rPr>
                <w:rFonts w:hint="eastAsia"/>
                <w:color w:val="auto"/>
                <w:kern w:val="0"/>
                <w:sz w:val="24"/>
                <w:highlight w:val="none"/>
              </w:rPr>
              <w:t>4a</w:t>
            </w:r>
            <w:r>
              <w:rPr>
                <w:color w:val="auto"/>
                <w:kern w:val="0"/>
                <w:sz w:val="24"/>
                <w:highlight w:val="none"/>
              </w:rPr>
              <w:t>类标准</w:t>
            </w:r>
            <w:r>
              <w:rPr>
                <w:rFonts w:hint="eastAsia"/>
                <w:color w:val="auto"/>
                <w:kern w:val="0"/>
                <w:sz w:val="24"/>
                <w:highlight w:val="none"/>
              </w:rPr>
              <w:t>。</w:t>
            </w:r>
          </w:p>
          <w:p>
            <w:pPr>
              <w:spacing w:line="400" w:lineRule="atLeast"/>
              <w:jc w:val="center"/>
              <w:rPr>
                <w:b/>
                <w:color w:val="auto"/>
                <w:sz w:val="24"/>
                <w:highlight w:val="none"/>
              </w:rPr>
            </w:pPr>
            <w:r>
              <w:rPr>
                <w:b/>
                <w:bCs/>
                <w:color w:val="auto"/>
                <w:szCs w:val="21"/>
                <w:highlight w:val="none"/>
              </w:rPr>
              <w:t>表3-</w:t>
            </w:r>
            <w:r>
              <w:rPr>
                <w:rFonts w:hint="eastAsia"/>
                <w:b/>
                <w:bCs/>
                <w:color w:val="auto"/>
                <w:szCs w:val="21"/>
                <w:highlight w:val="none"/>
              </w:rPr>
              <w:t>10</w:t>
            </w:r>
            <w:r>
              <w:rPr>
                <w:b/>
                <w:bCs/>
                <w:color w:val="auto"/>
                <w:szCs w:val="21"/>
                <w:highlight w:val="none"/>
              </w:rPr>
              <w:t>区域声环境标准限值表</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7"/>
              <w:gridCol w:w="2393"/>
              <w:gridCol w:w="1159"/>
              <w:gridCol w:w="1285"/>
              <w:gridCol w:w="890"/>
              <w:gridCol w:w="691"/>
              <w:gridCol w:w="5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18" w:type="pct"/>
                  <w:vMerge w:val="restart"/>
                  <w:vAlign w:val="center"/>
                </w:tcPr>
                <w:p>
                  <w:pPr>
                    <w:jc w:val="center"/>
                    <w:rPr>
                      <w:b/>
                      <w:bCs/>
                      <w:color w:val="auto"/>
                      <w:szCs w:val="21"/>
                      <w:highlight w:val="none"/>
                    </w:rPr>
                  </w:pPr>
                  <w:r>
                    <w:rPr>
                      <w:b/>
                      <w:bCs/>
                      <w:color w:val="auto"/>
                      <w:szCs w:val="21"/>
                      <w:highlight w:val="none"/>
                    </w:rPr>
                    <w:t>区域名</w:t>
                  </w:r>
                </w:p>
              </w:tc>
              <w:tc>
                <w:tcPr>
                  <w:tcW w:w="1499" w:type="pct"/>
                  <w:vMerge w:val="restart"/>
                  <w:vAlign w:val="center"/>
                </w:tcPr>
                <w:p>
                  <w:pPr>
                    <w:jc w:val="center"/>
                    <w:rPr>
                      <w:b/>
                      <w:bCs/>
                      <w:color w:val="auto"/>
                      <w:szCs w:val="21"/>
                      <w:highlight w:val="none"/>
                    </w:rPr>
                  </w:pPr>
                  <w:r>
                    <w:rPr>
                      <w:rFonts w:hint="eastAsia"/>
                      <w:b/>
                      <w:bCs/>
                      <w:color w:val="auto"/>
                      <w:szCs w:val="21"/>
                      <w:highlight w:val="none"/>
                    </w:rPr>
                    <w:t>范围</w:t>
                  </w:r>
                </w:p>
              </w:tc>
              <w:tc>
                <w:tcPr>
                  <w:tcW w:w="726" w:type="pct"/>
                  <w:vMerge w:val="restart"/>
                  <w:vAlign w:val="center"/>
                </w:tcPr>
                <w:p>
                  <w:pPr>
                    <w:jc w:val="center"/>
                    <w:rPr>
                      <w:b/>
                      <w:bCs/>
                      <w:color w:val="auto"/>
                      <w:sz w:val="24"/>
                      <w:highlight w:val="none"/>
                    </w:rPr>
                  </w:pPr>
                  <w:r>
                    <w:rPr>
                      <w:b/>
                      <w:bCs/>
                      <w:color w:val="auto"/>
                      <w:highlight w:val="none"/>
                    </w:rPr>
                    <w:t>执行标准</w:t>
                  </w:r>
                </w:p>
              </w:tc>
              <w:tc>
                <w:tcPr>
                  <w:tcW w:w="806" w:type="pct"/>
                  <w:vMerge w:val="restart"/>
                  <w:vAlign w:val="center"/>
                </w:tcPr>
                <w:p>
                  <w:pPr>
                    <w:jc w:val="center"/>
                    <w:rPr>
                      <w:b/>
                      <w:bCs/>
                      <w:color w:val="auto"/>
                      <w:highlight w:val="none"/>
                    </w:rPr>
                  </w:pPr>
                  <w:r>
                    <w:rPr>
                      <w:b/>
                      <w:bCs/>
                      <w:color w:val="auto"/>
                      <w:highlight w:val="none"/>
                    </w:rPr>
                    <w:t>表号及级别</w:t>
                  </w:r>
                </w:p>
              </w:tc>
              <w:tc>
                <w:tcPr>
                  <w:tcW w:w="558" w:type="pct"/>
                  <w:vMerge w:val="restart"/>
                  <w:vAlign w:val="center"/>
                </w:tcPr>
                <w:p>
                  <w:pPr>
                    <w:jc w:val="center"/>
                    <w:rPr>
                      <w:b/>
                      <w:bCs/>
                      <w:color w:val="auto"/>
                      <w:sz w:val="24"/>
                      <w:highlight w:val="none"/>
                    </w:rPr>
                  </w:pPr>
                  <w:r>
                    <w:rPr>
                      <w:b/>
                      <w:bCs/>
                      <w:color w:val="auto"/>
                      <w:highlight w:val="none"/>
                    </w:rPr>
                    <w:t>单位</w:t>
                  </w:r>
                </w:p>
              </w:tc>
              <w:tc>
                <w:tcPr>
                  <w:tcW w:w="790" w:type="pct"/>
                  <w:gridSpan w:val="2"/>
                  <w:vAlign w:val="center"/>
                </w:tcPr>
                <w:p>
                  <w:pPr>
                    <w:jc w:val="center"/>
                    <w:rPr>
                      <w:b/>
                      <w:bCs/>
                      <w:color w:val="auto"/>
                      <w:sz w:val="24"/>
                      <w:highlight w:val="none"/>
                    </w:rPr>
                  </w:pPr>
                  <w:r>
                    <w:rPr>
                      <w:b/>
                      <w:bCs/>
                      <w:color w:val="auto"/>
                      <w:highlight w:val="none"/>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18" w:type="pct"/>
                  <w:vMerge w:val="continue"/>
                  <w:vAlign w:val="center"/>
                </w:tcPr>
                <w:p>
                  <w:pPr>
                    <w:jc w:val="center"/>
                    <w:rPr>
                      <w:b/>
                      <w:bCs/>
                      <w:color w:val="auto"/>
                      <w:szCs w:val="21"/>
                      <w:highlight w:val="none"/>
                    </w:rPr>
                  </w:pPr>
                </w:p>
              </w:tc>
              <w:tc>
                <w:tcPr>
                  <w:tcW w:w="1499" w:type="pct"/>
                  <w:vMerge w:val="continue"/>
                  <w:vAlign w:val="center"/>
                </w:tcPr>
                <w:p>
                  <w:pPr>
                    <w:jc w:val="center"/>
                    <w:rPr>
                      <w:b/>
                      <w:bCs/>
                      <w:color w:val="auto"/>
                      <w:szCs w:val="21"/>
                      <w:highlight w:val="none"/>
                    </w:rPr>
                  </w:pPr>
                </w:p>
              </w:tc>
              <w:tc>
                <w:tcPr>
                  <w:tcW w:w="726" w:type="pct"/>
                  <w:vMerge w:val="continue"/>
                  <w:vAlign w:val="center"/>
                </w:tcPr>
                <w:p>
                  <w:pPr>
                    <w:ind w:firstLine="480"/>
                    <w:jc w:val="center"/>
                    <w:rPr>
                      <w:b/>
                      <w:bCs/>
                      <w:color w:val="auto"/>
                      <w:sz w:val="24"/>
                      <w:highlight w:val="none"/>
                    </w:rPr>
                  </w:pPr>
                </w:p>
              </w:tc>
              <w:tc>
                <w:tcPr>
                  <w:tcW w:w="806" w:type="pct"/>
                  <w:vMerge w:val="continue"/>
                  <w:vAlign w:val="center"/>
                </w:tcPr>
                <w:p>
                  <w:pPr>
                    <w:ind w:firstLine="480"/>
                    <w:jc w:val="center"/>
                    <w:rPr>
                      <w:b/>
                      <w:bCs/>
                      <w:color w:val="auto"/>
                      <w:sz w:val="24"/>
                      <w:highlight w:val="none"/>
                    </w:rPr>
                  </w:pPr>
                </w:p>
              </w:tc>
              <w:tc>
                <w:tcPr>
                  <w:tcW w:w="558" w:type="pct"/>
                  <w:vMerge w:val="continue"/>
                  <w:vAlign w:val="center"/>
                </w:tcPr>
                <w:p>
                  <w:pPr>
                    <w:ind w:firstLine="480"/>
                    <w:jc w:val="center"/>
                    <w:rPr>
                      <w:b/>
                      <w:bCs/>
                      <w:color w:val="auto"/>
                      <w:sz w:val="24"/>
                      <w:highlight w:val="none"/>
                    </w:rPr>
                  </w:pPr>
                </w:p>
              </w:tc>
              <w:tc>
                <w:tcPr>
                  <w:tcW w:w="433" w:type="pct"/>
                  <w:vAlign w:val="center"/>
                </w:tcPr>
                <w:p>
                  <w:pPr>
                    <w:jc w:val="center"/>
                    <w:rPr>
                      <w:b/>
                      <w:bCs/>
                      <w:color w:val="auto"/>
                      <w:highlight w:val="none"/>
                    </w:rPr>
                  </w:pPr>
                  <w:r>
                    <w:rPr>
                      <w:b/>
                      <w:bCs/>
                      <w:color w:val="auto"/>
                      <w:highlight w:val="none"/>
                    </w:rPr>
                    <w:t>昼</w:t>
                  </w:r>
                </w:p>
              </w:tc>
              <w:tc>
                <w:tcPr>
                  <w:tcW w:w="356" w:type="pct"/>
                  <w:vAlign w:val="center"/>
                </w:tcPr>
                <w:p>
                  <w:pPr>
                    <w:jc w:val="center"/>
                    <w:rPr>
                      <w:b/>
                      <w:bCs/>
                      <w:color w:val="auto"/>
                      <w:highlight w:val="none"/>
                    </w:rPr>
                  </w:pPr>
                  <w:r>
                    <w:rPr>
                      <w:b/>
                      <w:bCs/>
                      <w:color w:val="auto"/>
                      <w:highlight w:val="none"/>
                    </w:rPr>
                    <w:t>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18" w:type="pct"/>
                  <w:vMerge w:val="restart"/>
                  <w:vAlign w:val="center"/>
                </w:tcPr>
                <w:p>
                  <w:pPr>
                    <w:jc w:val="center"/>
                    <w:rPr>
                      <w:color w:val="auto"/>
                      <w:szCs w:val="21"/>
                      <w:highlight w:val="none"/>
                    </w:rPr>
                  </w:pPr>
                  <w:r>
                    <w:rPr>
                      <w:rFonts w:hint="eastAsia"/>
                      <w:color w:val="auto"/>
                      <w:szCs w:val="21"/>
                      <w:highlight w:val="none"/>
                    </w:rPr>
                    <w:t>扬东路西延</w:t>
                  </w:r>
                </w:p>
              </w:tc>
              <w:tc>
                <w:tcPr>
                  <w:tcW w:w="1499" w:type="pct"/>
                  <w:vAlign w:val="center"/>
                </w:tcPr>
                <w:p>
                  <w:pPr>
                    <w:jc w:val="center"/>
                    <w:rPr>
                      <w:color w:val="auto"/>
                      <w:szCs w:val="21"/>
                      <w:highlight w:val="none"/>
                    </w:rPr>
                  </w:pPr>
                  <w:r>
                    <w:rPr>
                      <w:rFonts w:hint="eastAsia"/>
                      <w:color w:val="auto"/>
                      <w:szCs w:val="21"/>
                      <w:highlight w:val="none"/>
                    </w:rPr>
                    <w:t>高于三层的临街建筑面向道路一侧(见附图2）</w:t>
                  </w:r>
                </w:p>
              </w:tc>
              <w:tc>
                <w:tcPr>
                  <w:tcW w:w="726" w:type="pct"/>
                  <w:vMerge w:val="restart"/>
                  <w:vAlign w:val="center"/>
                </w:tcPr>
                <w:p>
                  <w:pPr>
                    <w:jc w:val="center"/>
                    <w:rPr>
                      <w:color w:val="auto"/>
                      <w:sz w:val="24"/>
                      <w:highlight w:val="none"/>
                    </w:rPr>
                  </w:pPr>
                  <w:r>
                    <w:rPr>
                      <w:color w:val="auto"/>
                      <w:szCs w:val="21"/>
                      <w:highlight w:val="none"/>
                    </w:rPr>
                    <w:t>《声环境质量标准》（GB3096-2008）</w:t>
                  </w:r>
                </w:p>
              </w:tc>
              <w:tc>
                <w:tcPr>
                  <w:tcW w:w="806" w:type="pct"/>
                  <w:vAlign w:val="center"/>
                </w:tcPr>
                <w:p>
                  <w:pPr>
                    <w:jc w:val="center"/>
                    <w:rPr>
                      <w:color w:val="auto"/>
                      <w:highlight w:val="none"/>
                    </w:rPr>
                  </w:pPr>
                  <w:r>
                    <w:rPr>
                      <w:rFonts w:hint="eastAsia"/>
                      <w:color w:val="auto"/>
                      <w:highlight w:val="none"/>
                    </w:rPr>
                    <w:t>表1中4a</w:t>
                  </w:r>
                  <w:r>
                    <w:rPr>
                      <w:color w:val="auto"/>
                      <w:highlight w:val="none"/>
                    </w:rPr>
                    <w:t>类</w:t>
                  </w:r>
                </w:p>
              </w:tc>
              <w:tc>
                <w:tcPr>
                  <w:tcW w:w="558" w:type="pct"/>
                  <w:vAlign w:val="center"/>
                </w:tcPr>
                <w:p>
                  <w:pPr>
                    <w:jc w:val="center"/>
                    <w:rPr>
                      <w:color w:val="auto"/>
                      <w:highlight w:val="none"/>
                    </w:rPr>
                  </w:pPr>
                  <w:r>
                    <w:rPr>
                      <w:color w:val="auto"/>
                      <w:highlight w:val="none"/>
                    </w:rPr>
                    <w:t>dB(A)</w:t>
                  </w:r>
                </w:p>
              </w:tc>
              <w:tc>
                <w:tcPr>
                  <w:tcW w:w="433" w:type="pct"/>
                  <w:vAlign w:val="center"/>
                </w:tcPr>
                <w:p>
                  <w:pPr>
                    <w:jc w:val="center"/>
                    <w:rPr>
                      <w:color w:val="auto"/>
                      <w:highlight w:val="none"/>
                    </w:rPr>
                  </w:pPr>
                  <w:r>
                    <w:rPr>
                      <w:rFonts w:hint="eastAsia"/>
                      <w:color w:val="auto"/>
                      <w:highlight w:val="none"/>
                    </w:rPr>
                    <w:t>70</w:t>
                  </w:r>
                </w:p>
              </w:tc>
              <w:tc>
                <w:tcPr>
                  <w:tcW w:w="356" w:type="pct"/>
                  <w:vAlign w:val="center"/>
                </w:tcPr>
                <w:p>
                  <w:pPr>
                    <w:jc w:val="center"/>
                    <w:rPr>
                      <w:color w:val="auto"/>
                      <w:highlight w:val="none"/>
                    </w:rPr>
                  </w:pPr>
                  <w:r>
                    <w:rPr>
                      <w:color w:val="auto"/>
                      <w:highlight w:val="non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18" w:type="pct"/>
                  <w:vMerge w:val="continue"/>
                  <w:vAlign w:val="center"/>
                </w:tcPr>
                <w:p>
                  <w:pPr>
                    <w:jc w:val="center"/>
                    <w:rPr>
                      <w:color w:val="auto"/>
                      <w:szCs w:val="21"/>
                      <w:highlight w:val="none"/>
                    </w:rPr>
                  </w:pPr>
                </w:p>
              </w:tc>
              <w:tc>
                <w:tcPr>
                  <w:tcW w:w="1499" w:type="pct"/>
                  <w:vAlign w:val="center"/>
                </w:tcPr>
                <w:p>
                  <w:pPr>
                    <w:jc w:val="center"/>
                    <w:rPr>
                      <w:color w:val="auto"/>
                      <w:szCs w:val="21"/>
                      <w:highlight w:val="none"/>
                    </w:rPr>
                  </w:pPr>
                  <w:r>
                    <w:rPr>
                      <w:rFonts w:hint="eastAsia"/>
                      <w:color w:val="auto"/>
                      <w:szCs w:val="21"/>
                      <w:highlight w:val="none"/>
                    </w:rPr>
                    <w:t>低于三层的临街建筑（含开阔地）所在区域：道路及边界线外距离25m区域</w:t>
                  </w:r>
                </w:p>
              </w:tc>
              <w:tc>
                <w:tcPr>
                  <w:tcW w:w="726" w:type="pct"/>
                  <w:vMerge w:val="continue"/>
                  <w:vAlign w:val="center"/>
                </w:tcPr>
                <w:p>
                  <w:pPr>
                    <w:jc w:val="center"/>
                    <w:rPr>
                      <w:color w:val="auto"/>
                      <w:szCs w:val="21"/>
                      <w:highlight w:val="none"/>
                    </w:rPr>
                  </w:pPr>
                </w:p>
              </w:tc>
              <w:tc>
                <w:tcPr>
                  <w:tcW w:w="806" w:type="pct"/>
                  <w:vAlign w:val="center"/>
                </w:tcPr>
                <w:p>
                  <w:pPr>
                    <w:jc w:val="center"/>
                    <w:rPr>
                      <w:color w:val="auto"/>
                      <w:highlight w:val="none"/>
                    </w:rPr>
                  </w:pPr>
                  <w:r>
                    <w:rPr>
                      <w:rFonts w:hint="eastAsia"/>
                      <w:color w:val="auto"/>
                      <w:highlight w:val="none"/>
                    </w:rPr>
                    <w:t>表1中4a</w:t>
                  </w:r>
                  <w:r>
                    <w:rPr>
                      <w:color w:val="auto"/>
                      <w:highlight w:val="none"/>
                    </w:rPr>
                    <w:t>类</w:t>
                  </w:r>
                </w:p>
              </w:tc>
              <w:tc>
                <w:tcPr>
                  <w:tcW w:w="558" w:type="pct"/>
                  <w:vAlign w:val="center"/>
                </w:tcPr>
                <w:p>
                  <w:pPr>
                    <w:jc w:val="center"/>
                    <w:rPr>
                      <w:color w:val="auto"/>
                      <w:highlight w:val="none"/>
                    </w:rPr>
                  </w:pPr>
                  <w:r>
                    <w:rPr>
                      <w:color w:val="auto"/>
                      <w:highlight w:val="none"/>
                    </w:rPr>
                    <w:t>dB(A)</w:t>
                  </w:r>
                </w:p>
              </w:tc>
              <w:tc>
                <w:tcPr>
                  <w:tcW w:w="433" w:type="pct"/>
                  <w:vAlign w:val="center"/>
                </w:tcPr>
                <w:p>
                  <w:pPr>
                    <w:jc w:val="center"/>
                    <w:rPr>
                      <w:color w:val="auto"/>
                      <w:highlight w:val="none"/>
                    </w:rPr>
                  </w:pPr>
                  <w:r>
                    <w:rPr>
                      <w:rFonts w:hint="eastAsia"/>
                      <w:color w:val="auto"/>
                      <w:highlight w:val="none"/>
                    </w:rPr>
                    <w:t>70</w:t>
                  </w:r>
                </w:p>
              </w:tc>
              <w:tc>
                <w:tcPr>
                  <w:tcW w:w="356" w:type="pct"/>
                  <w:vAlign w:val="center"/>
                </w:tcPr>
                <w:p>
                  <w:pPr>
                    <w:jc w:val="center"/>
                    <w:rPr>
                      <w:color w:val="auto"/>
                      <w:highlight w:val="none"/>
                    </w:rPr>
                  </w:pPr>
                  <w:r>
                    <w:rPr>
                      <w:color w:val="auto"/>
                      <w:highlight w:val="none"/>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8" w:type="pct"/>
                  <w:vMerge w:val="continue"/>
                  <w:vAlign w:val="center"/>
                </w:tcPr>
                <w:p>
                  <w:pPr>
                    <w:jc w:val="center"/>
                    <w:rPr>
                      <w:color w:val="auto"/>
                      <w:szCs w:val="21"/>
                      <w:highlight w:val="none"/>
                    </w:rPr>
                  </w:pPr>
                </w:p>
              </w:tc>
              <w:tc>
                <w:tcPr>
                  <w:tcW w:w="1499" w:type="pct"/>
                  <w:vAlign w:val="center"/>
                </w:tcPr>
                <w:p>
                  <w:pPr>
                    <w:jc w:val="center"/>
                    <w:rPr>
                      <w:color w:val="auto"/>
                      <w:szCs w:val="21"/>
                      <w:highlight w:val="none"/>
                    </w:rPr>
                  </w:pPr>
                  <w:r>
                    <w:rPr>
                      <w:rFonts w:hint="eastAsia"/>
                      <w:color w:val="auto"/>
                      <w:szCs w:val="21"/>
                      <w:highlight w:val="none"/>
                    </w:rPr>
                    <w:t>周边其他区域</w:t>
                  </w:r>
                </w:p>
              </w:tc>
              <w:tc>
                <w:tcPr>
                  <w:tcW w:w="726" w:type="pct"/>
                  <w:vMerge w:val="continue"/>
                  <w:vAlign w:val="center"/>
                </w:tcPr>
                <w:p>
                  <w:pPr>
                    <w:jc w:val="center"/>
                    <w:rPr>
                      <w:color w:val="auto"/>
                      <w:szCs w:val="21"/>
                      <w:highlight w:val="none"/>
                    </w:rPr>
                  </w:pPr>
                </w:p>
              </w:tc>
              <w:tc>
                <w:tcPr>
                  <w:tcW w:w="806" w:type="pct"/>
                  <w:vAlign w:val="center"/>
                </w:tcPr>
                <w:p>
                  <w:pPr>
                    <w:jc w:val="center"/>
                    <w:rPr>
                      <w:color w:val="auto"/>
                      <w:highlight w:val="none"/>
                    </w:rPr>
                  </w:pPr>
                  <w:r>
                    <w:rPr>
                      <w:rFonts w:hint="eastAsia"/>
                      <w:color w:val="auto"/>
                      <w:highlight w:val="none"/>
                    </w:rPr>
                    <w:t>表1中</w:t>
                  </w:r>
                  <w:r>
                    <w:rPr>
                      <w:rFonts w:hint="eastAsia"/>
                      <w:color w:val="auto"/>
                      <w:highlight w:val="none"/>
                      <w:lang w:val="en-US" w:eastAsia="zh-CN"/>
                    </w:rPr>
                    <w:t>2</w:t>
                  </w:r>
                  <w:r>
                    <w:rPr>
                      <w:color w:val="auto"/>
                      <w:highlight w:val="none"/>
                    </w:rPr>
                    <w:t>类</w:t>
                  </w:r>
                </w:p>
              </w:tc>
              <w:tc>
                <w:tcPr>
                  <w:tcW w:w="558" w:type="pct"/>
                  <w:vAlign w:val="center"/>
                </w:tcPr>
                <w:p>
                  <w:pPr>
                    <w:jc w:val="center"/>
                    <w:rPr>
                      <w:color w:val="auto"/>
                      <w:highlight w:val="none"/>
                    </w:rPr>
                  </w:pPr>
                  <w:r>
                    <w:rPr>
                      <w:color w:val="auto"/>
                      <w:highlight w:val="none"/>
                    </w:rPr>
                    <w:t>dB(A)</w:t>
                  </w:r>
                </w:p>
              </w:tc>
              <w:tc>
                <w:tcPr>
                  <w:tcW w:w="433" w:type="pct"/>
                  <w:vAlign w:val="center"/>
                </w:tcPr>
                <w:p>
                  <w:pPr>
                    <w:jc w:val="center"/>
                    <w:rPr>
                      <w:rFonts w:hint="eastAsia" w:eastAsia="宋体"/>
                      <w:color w:val="auto"/>
                      <w:highlight w:val="none"/>
                      <w:lang w:eastAsia="zh-CN"/>
                    </w:rPr>
                  </w:pPr>
                  <w:r>
                    <w:rPr>
                      <w:rFonts w:hint="eastAsia"/>
                      <w:color w:val="auto"/>
                      <w:highlight w:val="none"/>
                    </w:rPr>
                    <w:t>6</w:t>
                  </w:r>
                  <w:r>
                    <w:rPr>
                      <w:rFonts w:hint="eastAsia"/>
                      <w:color w:val="auto"/>
                      <w:highlight w:val="none"/>
                      <w:lang w:val="en-US" w:eastAsia="zh-CN"/>
                    </w:rPr>
                    <w:t>0</w:t>
                  </w:r>
                </w:p>
              </w:tc>
              <w:tc>
                <w:tcPr>
                  <w:tcW w:w="356" w:type="pct"/>
                  <w:vAlign w:val="center"/>
                </w:tcPr>
                <w:p>
                  <w:pPr>
                    <w:jc w:val="center"/>
                    <w:rPr>
                      <w:color w:val="auto"/>
                      <w:highlight w:val="none"/>
                    </w:rPr>
                  </w:pPr>
                  <w:r>
                    <w:rPr>
                      <w:rFonts w:hint="eastAsia"/>
                      <w:color w:val="auto"/>
                      <w:highlight w:val="none"/>
                    </w:rPr>
                    <w:t>5</w:t>
                  </w:r>
                  <w:r>
                    <w:rPr>
                      <w:rFonts w:hint="eastAsia"/>
                      <w:color w:val="auto"/>
                      <w:highlight w:val="none"/>
                      <w:lang w:val="en-US" w:eastAsia="zh-CN"/>
                    </w:rPr>
                    <w:t>0</w:t>
                  </w:r>
                </w:p>
              </w:tc>
            </w:tr>
          </w:tbl>
          <w:p>
            <w:pPr>
              <w:pStyle w:val="3"/>
              <w:rPr>
                <w:color w:val="auto"/>
                <w:highlight w:val="none"/>
              </w:rPr>
            </w:pPr>
          </w:p>
          <w:p>
            <w:pPr>
              <w:spacing w:line="360" w:lineRule="auto"/>
              <w:rPr>
                <w:b/>
                <w:color w:val="auto"/>
                <w:sz w:val="24"/>
                <w:highlight w:val="none"/>
              </w:rPr>
            </w:pPr>
            <w:r>
              <w:rPr>
                <w:b/>
                <w:color w:val="auto"/>
                <w:sz w:val="24"/>
                <w:highlight w:val="none"/>
              </w:rPr>
              <w:t>污染物排放标准：</w:t>
            </w:r>
          </w:p>
          <w:p>
            <w:pPr>
              <w:spacing w:line="360" w:lineRule="auto"/>
              <w:ind w:firstLine="482" w:firstLineChars="200"/>
              <w:rPr>
                <w:b/>
                <w:bCs/>
                <w:color w:val="auto"/>
                <w:sz w:val="24"/>
                <w:highlight w:val="none"/>
              </w:rPr>
            </w:pPr>
            <w:r>
              <w:rPr>
                <w:b/>
                <w:bCs/>
                <w:color w:val="auto"/>
                <w:sz w:val="24"/>
                <w:highlight w:val="none"/>
              </w:rPr>
              <w:t>1、废水排放标准</w:t>
            </w:r>
          </w:p>
          <w:p>
            <w:pPr>
              <w:spacing w:line="360" w:lineRule="auto"/>
              <w:ind w:firstLine="480" w:firstLineChars="200"/>
              <w:rPr>
                <w:color w:val="auto"/>
                <w:sz w:val="24"/>
                <w:highlight w:val="none"/>
              </w:rPr>
            </w:pPr>
            <w:r>
              <w:rPr>
                <w:rFonts w:hint="eastAsia"/>
                <w:color w:val="auto"/>
                <w:sz w:val="24"/>
                <w:highlight w:val="none"/>
              </w:rPr>
              <w:t>本项目施工人员产生的生活污水经污水管网接入园区第一污水处理厂，尾水排入吴淞江。项目施工期生活污水接管标准执行《污水综合排放标准》（GB8978－1996）和《污水排入城镇下水道水质标准》(GB/T31962-2015)，园区污水处理厂出水标准执行市政府办公室印发《关于高质量推进城乡生活污水治理三年行动计划的实施意见》的通知里附件1中苏州特别排放限值标准及《城镇污水处理厂污染物排放标准》（GB18918-2002）中的表1一级A标准（</w:t>
            </w:r>
            <w:r>
              <w:rPr>
                <w:rFonts w:hint="eastAsia"/>
                <w:color w:val="auto"/>
                <w:sz w:val="24"/>
                <w:highlight w:val="none"/>
                <w:lang w:val="en-US" w:eastAsia="zh-CN"/>
              </w:rPr>
              <w:t>2006年1月1日起开始执行</w:t>
            </w:r>
            <w:r>
              <w:rPr>
                <w:rFonts w:hint="eastAsia"/>
                <w:color w:val="auto"/>
                <w:sz w:val="24"/>
                <w:highlight w:val="none"/>
              </w:rPr>
              <w:t>《城镇污水处理厂污染物排放标准》（GB18918-2002）中的表1</w:t>
            </w:r>
            <w:r>
              <w:rPr>
                <w:rFonts w:hint="eastAsia"/>
                <w:color w:val="auto"/>
                <w:sz w:val="24"/>
                <w:highlight w:val="none"/>
                <w:lang w:val="en-US" w:eastAsia="zh-CN"/>
              </w:rPr>
              <w:t>二</w:t>
            </w:r>
            <w:r>
              <w:rPr>
                <w:rFonts w:hint="eastAsia"/>
                <w:color w:val="auto"/>
                <w:sz w:val="24"/>
                <w:highlight w:val="none"/>
              </w:rPr>
              <w:t>级A标准）。</w:t>
            </w:r>
            <w:r>
              <w:rPr>
                <w:color w:val="auto"/>
                <w:sz w:val="24"/>
                <w:highlight w:val="none"/>
              </w:rPr>
              <w:t>施工期产生的施工废水回用执行《城市污水再生利用城市杂用水水质》（GB/T18920-20</w:t>
            </w:r>
            <w:r>
              <w:rPr>
                <w:rFonts w:hint="eastAsia"/>
                <w:color w:val="auto"/>
                <w:sz w:val="24"/>
                <w:highlight w:val="none"/>
              </w:rPr>
              <w:t>20</w:t>
            </w:r>
            <w:r>
              <w:rPr>
                <w:color w:val="auto"/>
                <w:sz w:val="24"/>
                <w:highlight w:val="none"/>
              </w:rPr>
              <w:t>）标准，具体见</w:t>
            </w:r>
            <w:r>
              <w:rPr>
                <w:rFonts w:hint="eastAsia"/>
                <w:color w:val="auto"/>
                <w:sz w:val="24"/>
                <w:highlight w:val="none"/>
              </w:rPr>
              <w:t>下表</w:t>
            </w:r>
            <w:r>
              <w:rPr>
                <w:color w:val="auto"/>
                <w:sz w:val="24"/>
                <w:highlight w:val="none"/>
              </w:rPr>
              <w:t>。</w:t>
            </w:r>
          </w:p>
          <w:p>
            <w:pPr>
              <w:spacing w:line="400" w:lineRule="exact"/>
              <w:jc w:val="center"/>
              <w:rPr>
                <w:b/>
                <w:bCs/>
                <w:color w:val="auto"/>
                <w:szCs w:val="21"/>
                <w:highlight w:val="none"/>
              </w:rPr>
            </w:pPr>
            <w:r>
              <w:rPr>
                <w:b/>
                <w:bCs/>
                <w:color w:val="auto"/>
                <w:szCs w:val="21"/>
                <w:highlight w:val="none"/>
              </w:rPr>
              <w:t>表3-</w:t>
            </w:r>
            <w:r>
              <w:rPr>
                <w:rFonts w:hint="eastAsia"/>
                <w:b/>
                <w:bCs/>
                <w:color w:val="auto"/>
                <w:szCs w:val="21"/>
                <w:highlight w:val="none"/>
              </w:rPr>
              <w:t>11</w:t>
            </w:r>
            <w:r>
              <w:rPr>
                <w:b/>
                <w:bCs/>
                <w:color w:val="auto"/>
                <w:szCs w:val="21"/>
                <w:highlight w:val="none"/>
              </w:rPr>
              <w:t>废污水排放标准限值表</w:t>
            </w:r>
          </w:p>
          <w:tbl>
            <w:tblPr>
              <w:tblStyle w:val="1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2350"/>
              <w:gridCol w:w="1312"/>
              <w:gridCol w:w="1228"/>
              <w:gridCol w:w="887"/>
              <w:gridCol w:w="10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9" w:type="dxa"/>
                  <w:vAlign w:val="center"/>
                </w:tcPr>
                <w:p>
                  <w:pPr>
                    <w:jc w:val="center"/>
                    <w:rPr>
                      <w:b/>
                      <w:bCs/>
                      <w:color w:val="auto"/>
                      <w:szCs w:val="21"/>
                      <w:highlight w:val="none"/>
                    </w:rPr>
                  </w:pPr>
                  <w:r>
                    <w:rPr>
                      <w:b/>
                      <w:bCs/>
                      <w:color w:val="auto"/>
                      <w:highlight w:val="none"/>
                    </w:rPr>
                    <w:t>排放口名</w:t>
                  </w:r>
                </w:p>
              </w:tc>
              <w:tc>
                <w:tcPr>
                  <w:tcW w:w="2475" w:type="dxa"/>
                  <w:vAlign w:val="center"/>
                </w:tcPr>
                <w:p>
                  <w:pPr>
                    <w:jc w:val="center"/>
                    <w:rPr>
                      <w:b/>
                      <w:bCs/>
                      <w:color w:val="auto"/>
                      <w:szCs w:val="21"/>
                      <w:highlight w:val="none"/>
                    </w:rPr>
                  </w:pPr>
                  <w:r>
                    <w:rPr>
                      <w:b/>
                      <w:bCs/>
                      <w:color w:val="auto"/>
                      <w:highlight w:val="none"/>
                    </w:rPr>
                    <w:t>执行标准</w:t>
                  </w:r>
                </w:p>
              </w:tc>
              <w:tc>
                <w:tcPr>
                  <w:tcW w:w="1375" w:type="dxa"/>
                  <w:vAlign w:val="center"/>
                </w:tcPr>
                <w:p>
                  <w:pPr>
                    <w:jc w:val="center"/>
                    <w:rPr>
                      <w:b/>
                      <w:bCs/>
                      <w:color w:val="auto"/>
                      <w:szCs w:val="21"/>
                      <w:highlight w:val="none"/>
                    </w:rPr>
                  </w:pPr>
                  <w:r>
                    <w:rPr>
                      <w:b/>
                      <w:bCs/>
                      <w:color w:val="auto"/>
                      <w:highlight w:val="none"/>
                    </w:rPr>
                    <w:t>取值表号及级别</w:t>
                  </w:r>
                </w:p>
              </w:tc>
              <w:tc>
                <w:tcPr>
                  <w:tcW w:w="1287" w:type="dxa"/>
                  <w:vAlign w:val="center"/>
                </w:tcPr>
                <w:p>
                  <w:pPr>
                    <w:jc w:val="center"/>
                    <w:rPr>
                      <w:b/>
                      <w:bCs/>
                      <w:color w:val="auto"/>
                      <w:szCs w:val="21"/>
                      <w:highlight w:val="none"/>
                    </w:rPr>
                  </w:pPr>
                  <w:r>
                    <w:rPr>
                      <w:b/>
                      <w:bCs/>
                      <w:color w:val="auto"/>
                      <w:highlight w:val="none"/>
                    </w:rPr>
                    <w:t>污染物指标</w:t>
                  </w:r>
                </w:p>
              </w:tc>
              <w:tc>
                <w:tcPr>
                  <w:tcW w:w="925" w:type="dxa"/>
                  <w:vAlign w:val="center"/>
                </w:tcPr>
                <w:p>
                  <w:pPr>
                    <w:jc w:val="center"/>
                    <w:rPr>
                      <w:b/>
                      <w:bCs/>
                      <w:color w:val="auto"/>
                      <w:szCs w:val="21"/>
                      <w:highlight w:val="none"/>
                    </w:rPr>
                  </w:pPr>
                  <w:r>
                    <w:rPr>
                      <w:b/>
                      <w:bCs/>
                      <w:color w:val="auto"/>
                      <w:highlight w:val="none"/>
                    </w:rPr>
                    <w:t>单位</w:t>
                  </w:r>
                </w:p>
              </w:tc>
              <w:tc>
                <w:tcPr>
                  <w:tcW w:w="1130" w:type="dxa"/>
                  <w:vAlign w:val="center"/>
                </w:tcPr>
                <w:p>
                  <w:pPr>
                    <w:jc w:val="center"/>
                    <w:rPr>
                      <w:b/>
                      <w:bCs/>
                      <w:color w:val="auto"/>
                      <w:szCs w:val="21"/>
                      <w:highlight w:val="none"/>
                    </w:rPr>
                  </w:pPr>
                  <w:r>
                    <w:rPr>
                      <w:b/>
                      <w:bCs/>
                      <w:color w:val="auto"/>
                      <w:highlight w:val="none"/>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9" w:type="dxa"/>
                  <w:vMerge w:val="restart"/>
                  <w:vAlign w:val="center"/>
                </w:tcPr>
                <w:p>
                  <w:pPr>
                    <w:jc w:val="center"/>
                    <w:rPr>
                      <w:color w:val="auto"/>
                      <w:highlight w:val="none"/>
                    </w:rPr>
                  </w:pPr>
                  <w:r>
                    <w:rPr>
                      <w:color w:val="auto"/>
                      <w:highlight w:val="none"/>
                    </w:rPr>
                    <w:t>污水处理厂排口</w:t>
                  </w:r>
                </w:p>
              </w:tc>
              <w:tc>
                <w:tcPr>
                  <w:tcW w:w="2475" w:type="dxa"/>
                  <w:vMerge w:val="restart"/>
                  <w:vAlign w:val="center"/>
                </w:tcPr>
                <w:p>
                  <w:pPr>
                    <w:jc w:val="center"/>
                    <w:rPr>
                      <w:bCs/>
                      <w:color w:val="auto"/>
                      <w:highlight w:val="none"/>
                    </w:rPr>
                  </w:pPr>
                  <w:r>
                    <w:rPr>
                      <w:bCs/>
                      <w:color w:val="auto"/>
                      <w:highlight w:val="none"/>
                    </w:rPr>
                    <w:t>《城镇污水处理厂污染物排放标准》</w:t>
                  </w:r>
                </w:p>
                <w:p>
                  <w:pPr>
                    <w:jc w:val="center"/>
                    <w:rPr>
                      <w:bCs/>
                      <w:color w:val="auto"/>
                      <w:highlight w:val="none"/>
                    </w:rPr>
                  </w:pPr>
                  <w:r>
                    <w:rPr>
                      <w:bCs/>
                      <w:color w:val="auto"/>
                      <w:highlight w:val="none"/>
                    </w:rPr>
                    <w:t>GB18918-2002</w:t>
                  </w:r>
                </w:p>
              </w:tc>
              <w:tc>
                <w:tcPr>
                  <w:tcW w:w="1375" w:type="dxa"/>
                  <w:vMerge w:val="restart"/>
                  <w:vAlign w:val="center"/>
                </w:tcPr>
                <w:p>
                  <w:pPr>
                    <w:jc w:val="center"/>
                    <w:rPr>
                      <w:bCs/>
                      <w:color w:val="auto"/>
                      <w:highlight w:val="none"/>
                    </w:rPr>
                  </w:pPr>
                  <w:r>
                    <w:rPr>
                      <w:color w:val="auto"/>
                      <w:highlight w:val="none"/>
                    </w:rPr>
                    <w:t>表1一级A标准</w:t>
                  </w:r>
                </w:p>
              </w:tc>
              <w:tc>
                <w:tcPr>
                  <w:tcW w:w="1287" w:type="dxa"/>
                  <w:vAlign w:val="center"/>
                </w:tcPr>
                <w:p>
                  <w:pPr>
                    <w:jc w:val="center"/>
                    <w:rPr>
                      <w:color w:val="auto"/>
                      <w:highlight w:val="none"/>
                    </w:rPr>
                  </w:pPr>
                  <w:r>
                    <w:rPr>
                      <w:color w:val="auto"/>
                      <w:highlight w:val="none"/>
                    </w:rPr>
                    <w:t>pH</w:t>
                  </w:r>
                </w:p>
              </w:tc>
              <w:tc>
                <w:tcPr>
                  <w:tcW w:w="925" w:type="dxa"/>
                  <w:vAlign w:val="center"/>
                </w:tcPr>
                <w:p>
                  <w:pPr>
                    <w:jc w:val="center"/>
                    <w:rPr>
                      <w:color w:val="auto"/>
                      <w:highlight w:val="none"/>
                    </w:rPr>
                  </w:pPr>
                  <w:r>
                    <w:rPr>
                      <w:color w:val="auto"/>
                      <w:highlight w:val="none"/>
                    </w:rPr>
                    <w:t>无量纲</w:t>
                  </w:r>
                </w:p>
              </w:tc>
              <w:tc>
                <w:tcPr>
                  <w:tcW w:w="1130" w:type="dxa"/>
                  <w:vAlign w:val="center"/>
                </w:tcPr>
                <w:p>
                  <w:pPr>
                    <w:jc w:val="center"/>
                    <w:rPr>
                      <w:color w:val="auto"/>
                      <w:highlight w:val="none"/>
                    </w:rPr>
                  </w:pPr>
                  <w:r>
                    <w:rPr>
                      <w:color w:val="auto"/>
                      <w:highlight w:val="none"/>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9" w:type="dxa"/>
                  <w:vMerge w:val="continue"/>
                  <w:vAlign w:val="center"/>
                </w:tcPr>
                <w:p>
                  <w:pPr>
                    <w:jc w:val="center"/>
                    <w:rPr>
                      <w:color w:val="auto"/>
                      <w:highlight w:val="none"/>
                    </w:rPr>
                  </w:pPr>
                </w:p>
              </w:tc>
              <w:tc>
                <w:tcPr>
                  <w:tcW w:w="2475" w:type="dxa"/>
                  <w:vMerge w:val="continue"/>
                  <w:vAlign w:val="center"/>
                </w:tcPr>
                <w:p>
                  <w:pPr>
                    <w:jc w:val="center"/>
                    <w:rPr>
                      <w:bCs/>
                      <w:color w:val="auto"/>
                      <w:highlight w:val="none"/>
                    </w:rPr>
                  </w:pPr>
                </w:p>
              </w:tc>
              <w:tc>
                <w:tcPr>
                  <w:tcW w:w="1375" w:type="dxa"/>
                  <w:vMerge w:val="continue"/>
                  <w:vAlign w:val="center"/>
                </w:tcPr>
                <w:p>
                  <w:pPr>
                    <w:jc w:val="center"/>
                    <w:rPr>
                      <w:bCs/>
                      <w:color w:val="auto"/>
                      <w:highlight w:val="none"/>
                    </w:rPr>
                  </w:pPr>
                </w:p>
              </w:tc>
              <w:tc>
                <w:tcPr>
                  <w:tcW w:w="1287" w:type="dxa"/>
                  <w:vAlign w:val="center"/>
                </w:tcPr>
                <w:p>
                  <w:pPr>
                    <w:jc w:val="center"/>
                    <w:rPr>
                      <w:color w:val="auto"/>
                      <w:highlight w:val="none"/>
                    </w:rPr>
                  </w:pPr>
                  <w:r>
                    <w:rPr>
                      <w:color w:val="auto"/>
                      <w:highlight w:val="none"/>
                    </w:rPr>
                    <w:t>SS</w:t>
                  </w:r>
                </w:p>
              </w:tc>
              <w:tc>
                <w:tcPr>
                  <w:tcW w:w="925" w:type="dxa"/>
                  <w:vMerge w:val="restart"/>
                  <w:vAlign w:val="center"/>
                </w:tcPr>
                <w:p>
                  <w:pPr>
                    <w:jc w:val="center"/>
                    <w:rPr>
                      <w:color w:val="auto"/>
                      <w:highlight w:val="none"/>
                    </w:rPr>
                  </w:pPr>
                  <w:r>
                    <w:rPr>
                      <w:color w:val="auto"/>
                      <w:highlight w:val="none"/>
                    </w:rPr>
                    <w:t>mg/L</w:t>
                  </w:r>
                </w:p>
                <w:p>
                  <w:pPr>
                    <w:ind w:firstLine="105" w:firstLineChars="50"/>
                    <w:jc w:val="center"/>
                    <w:rPr>
                      <w:color w:val="auto"/>
                      <w:highlight w:val="none"/>
                    </w:rPr>
                  </w:pPr>
                </w:p>
              </w:tc>
              <w:tc>
                <w:tcPr>
                  <w:tcW w:w="1130" w:type="dxa"/>
                  <w:vAlign w:val="center"/>
                </w:tcPr>
                <w:p>
                  <w:pPr>
                    <w:jc w:val="center"/>
                    <w:rPr>
                      <w:color w:val="auto"/>
                      <w:highlight w:val="none"/>
                    </w:rPr>
                  </w:pPr>
                  <w:r>
                    <w:rPr>
                      <w:color w:val="auto"/>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9" w:type="dxa"/>
                  <w:vMerge w:val="continue"/>
                  <w:vAlign w:val="center"/>
                </w:tcPr>
                <w:p>
                  <w:pPr>
                    <w:jc w:val="center"/>
                    <w:rPr>
                      <w:color w:val="auto"/>
                      <w:highlight w:val="none"/>
                    </w:rPr>
                  </w:pPr>
                </w:p>
              </w:tc>
              <w:tc>
                <w:tcPr>
                  <w:tcW w:w="2475" w:type="dxa"/>
                  <w:vMerge w:val="restart"/>
                  <w:vAlign w:val="center"/>
                </w:tcPr>
                <w:p>
                  <w:pPr>
                    <w:jc w:val="center"/>
                    <w:rPr>
                      <w:bCs/>
                      <w:color w:val="auto"/>
                      <w:highlight w:val="none"/>
                    </w:rPr>
                  </w:pPr>
                  <w:r>
                    <w:rPr>
                      <w:bCs/>
                      <w:color w:val="auto"/>
                      <w:highlight w:val="none"/>
                    </w:rPr>
                    <w:t>市政府办公室印发《关于高质量推进城乡生活污水治理三年行动计划的实施意见》的通知</w:t>
                  </w:r>
                </w:p>
              </w:tc>
              <w:tc>
                <w:tcPr>
                  <w:tcW w:w="1375" w:type="dxa"/>
                  <w:vMerge w:val="restart"/>
                  <w:vAlign w:val="center"/>
                </w:tcPr>
                <w:p>
                  <w:pPr>
                    <w:jc w:val="center"/>
                    <w:rPr>
                      <w:bCs/>
                      <w:color w:val="auto"/>
                      <w:highlight w:val="none"/>
                    </w:rPr>
                  </w:pPr>
                  <w:r>
                    <w:rPr>
                      <w:color w:val="auto"/>
                      <w:highlight w:val="none"/>
                    </w:rPr>
                    <w:t>附件1苏州特别排放限值标准</w:t>
                  </w:r>
                </w:p>
              </w:tc>
              <w:tc>
                <w:tcPr>
                  <w:tcW w:w="1287" w:type="dxa"/>
                  <w:vAlign w:val="center"/>
                </w:tcPr>
                <w:p>
                  <w:pPr>
                    <w:jc w:val="center"/>
                    <w:rPr>
                      <w:color w:val="auto"/>
                      <w:highlight w:val="none"/>
                    </w:rPr>
                  </w:pPr>
                  <w:r>
                    <w:rPr>
                      <w:color w:val="auto"/>
                      <w:highlight w:val="none"/>
                    </w:rPr>
                    <w:t>COD</w:t>
                  </w:r>
                </w:p>
              </w:tc>
              <w:tc>
                <w:tcPr>
                  <w:tcW w:w="925" w:type="dxa"/>
                  <w:vMerge w:val="continue"/>
                  <w:vAlign w:val="center"/>
                </w:tcPr>
                <w:p>
                  <w:pPr>
                    <w:jc w:val="center"/>
                    <w:rPr>
                      <w:color w:val="auto"/>
                      <w:highlight w:val="none"/>
                    </w:rPr>
                  </w:pPr>
                </w:p>
              </w:tc>
              <w:tc>
                <w:tcPr>
                  <w:tcW w:w="1130" w:type="dxa"/>
                  <w:vAlign w:val="center"/>
                </w:tcPr>
                <w:p>
                  <w:pPr>
                    <w:spacing w:line="0" w:lineRule="atLeast"/>
                    <w:jc w:val="center"/>
                    <w:rPr>
                      <w:color w:val="auto"/>
                      <w:highlight w:val="none"/>
                    </w:rPr>
                  </w:pPr>
                  <w:r>
                    <w:rPr>
                      <w:color w:val="auto"/>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9" w:type="dxa"/>
                  <w:vMerge w:val="continue"/>
                  <w:vAlign w:val="center"/>
                </w:tcPr>
                <w:p>
                  <w:pPr>
                    <w:jc w:val="center"/>
                    <w:rPr>
                      <w:color w:val="auto"/>
                      <w:highlight w:val="none"/>
                    </w:rPr>
                  </w:pPr>
                </w:p>
              </w:tc>
              <w:tc>
                <w:tcPr>
                  <w:tcW w:w="2475" w:type="dxa"/>
                  <w:vMerge w:val="continue"/>
                  <w:vAlign w:val="center"/>
                </w:tcPr>
                <w:p>
                  <w:pPr>
                    <w:jc w:val="center"/>
                    <w:rPr>
                      <w:bCs/>
                      <w:color w:val="auto"/>
                      <w:highlight w:val="none"/>
                    </w:rPr>
                  </w:pPr>
                </w:p>
              </w:tc>
              <w:tc>
                <w:tcPr>
                  <w:tcW w:w="1375" w:type="dxa"/>
                  <w:vMerge w:val="continue"/>
                  <w:vAlign w:val="center"/>
                </w:tcPr>
                <w:p>
                  <w:pPr>
                    <w:jc w:val="center"/>
                    <w:rPr>
                      <w:bCs/>
                      <w:color w:val="auto"/>
                      <w:highlight w:val="none"/>
                    </w:rPr>
                  </w:pPr>
                </w:p>
              </w:tc>
              <w:tc>
                <w:tcPr>
                  <w:tcW w:w="1287" w:type="dxa"/>
                  <w:vAlign w:val="center"/>
                </w:tcPr>
                <w:p>
                  <w:pPr>
                    <w:jc w:val="center"/>
                    <w:rPr>
                      <w:color w:val="auto"/>
                      <w:highlight w:val="none"/>
                    </w:rPr>
                  </w:pPr>
                  <w:r>
                    <w:rPr>
                      <w:color w:val="auto"/>
                      <w:highlight w:val="none"/>
                    </w:rPr>
                    <w:t>氨氮</w:t>
                  </w:r>
                </w:p>
              </w:tc>
              <w:tc>
                <w:tcPr>
                  <w:tcW w:w="925" w:type="dxa"/>
                  <w:vMerge w:val="continue"/>
                  <w:vAlign w:val="center"/>
                </w:tcPr>
                <w:p>
                  <w:pPr>
                    <w:jc w:val="center"/>
                    <w:rPr>
                      <w:color w:val="auto"/>
                      <w:highlight w:val="none"/>
                    </w:rPr>
                  </w:pPr>
                </w:p>
              </w:tc>
              <w:tc>
                <w:tcPr>
                  <w:tcW w:w="1130" w:type="dxa"/>
                  <w:vAlign w:val="center"/>
                </w:tcPr>
                <w:p>
                  <w:pPr>
                    <w:jc w:val="center"/>
                    <w:rPr>
                      <w:color w:val="auto"/>
                      <w:highlight w:val="none"/>
                    </w:rPr>
                  </w:pPr>
                  <w:r>
                    <w:rPr>
                      <w:color w:val="auto"/>
                      <w:highlight w:val="none"/>
                    </w:rPr>
                    <w:t>1.5（3）*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9" w:type="dxa"/>
                  <w:vMerge w:val="continue"/>
                  <w:vAlign w:val="center"/>
                </w:tcPr>
                <w:p>
                  <w:pPr>
                    <w:jc w:val="center"/>
                    <w:rPr>
                      <w:color w:val="auto"/>
                      <w:highlight w:val="none"/>
                    </w:rPr>
                  </w:pPr>
                </w:p>
              </w:tc>
              <w:tc>
                <w:tcPr>
                  <w:tcW w:w="2475" w:type="dxa"/>
                  <w:vMerge w:val="continue"/>
                  <w:vAlign w:val="center"/>
                </w:tcPr>
                <w:p>
                  <w:pPr>
                    <w:jc w:val="center"/>
                    <w:rPr>
                      <w:bCs/>
                      <w:color w:val="auto"/>
                      <w:highlight w:val="none"/>
                    </w:rPr>
                  </w:pPr>
                </w:p>
              </w:tc>
              <w:tc>
                <w:tcPr>
                  <w:tcW w:w="1375" w:type="dxa"/>
                  <w:vMerge w:val="continue"/>
                  <w:vAlign w:val="center"/>
                </w:tcPr>
                <w:p>
                  <w:pPr>
                    <w:jc w:val="center"/>
                    <w:rPr>
                      <w:bCs/>
                      <w:color w:val="auto"/>
                      <w:highlight w:val="none"/>
                    </w:rPr>
                  </w:pPr>
                </w:p>
              </w:tc>
              <w:tc>
                <w:tcPr>
                  <w:tcW w:w="1287" w:type="dxa"/>
                  <w:vAlign w:val="center"/>
                </w:tcPr>
                <w:p>
                  <w:pPr>
                    <w:jc w:val="center"/>
                    <w:rPr>
                      <w:color w:val="auto"/>
                      <w:highlight w:val="none"/>
                    </w:rPr>
                  </w:pPr>
                  <w:r>
                    <w:rPr>
                      <w:color w:val="auto"/>
                      <w:highlight w:val="none"/>
                    </w:rPr>
                    <w:t>总磷</w:t>
                  </w:r>
                </w:p>
              </w:tc>
              <w:tc>
                <w:tcPr>
                  <w:tcW w:w="925" w:type="dxa"/>
                  <w:vMerge w:val="continue"/>
                  <w:vAlign w:val="center"/>
                </w:tcPr>
                <w:p>
                  <w:pPr>
                    <w:jc w:val="center"/>
                    <w:rPr>
                      <w:color w:val="auto"/>
                      <w:highlight w:val="none"/>
                    </w:rPr>
                  </w:pPr>
                </w:p>
              </w:tc>
              <w:tc>
                <w:tcPr>
                  <w:tcW w:w="1130" w:type="dxa"/>
                  <w:vAlign w:val="center"/>
                </w:tcPr>
                <w:p>
                  <w:pPr>
                    <w:jc w:val="center"/>
                    <w:rPr>
                      <w:color w:val="auto"/>
                      <w:highlight w:val="none"/>
                    </w:rPr>
                  </w:pPr>
                  <w:r>
                    <w:rPr>
                      <w:color w:val="auto"/>
                      <w:highlight w:val="none"/>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9" w:type="dxa"/>
                  <w:vMerge w:val="restart"/>
                  <w:vAlign w:val="center"/>
                </w:tcPr>
                <w:p>
                  <w:pPr>
                    <w:jc w:val="center"/>
                    <w:rPr>
                      <w:color w:val="auto"/>
                      <w:szCs w:val="21"/>
                      <w:highlight w:val="none"/>
                    </w:rPr>
                  </w:pPr>
                  <w:r>
                    <w:rPr>
                      <w:color w:val="auto"/>
                      <w:highlight w:val="none"/>
                    </w:rPr>
                    <w:t>施工期项目临时排口</w:t>
                  </w:r>
                </w:p>
              </w:tc>
              <w:tc>
                <w:tcPr>
                  <w:tcW w:w="2475" w:type="dxa"/>
                  <w:vMerge w:val="restart"/>
                  <w:vAlign w:val="center"/>
                </w:tcPr>
                <w:p>
                  <w:pPr>
                    <w:jc w:val="center"/>
                    <w:rPr>
                      <w:color w:val="auto"/>
                      <w:szCs w:val="21"/>
                      <w:highlight w:val="none"/>
                    </w:rPr>
                  </w:pPr>
                  <w:r>
                    <w:rPr>
                      <w:bCs/>
                      <w:color w:val="auto"/>
                      <w:highlight w:val="none"/>
                    </w:rPr>
                    <w:t>《污水综合排放标准》(GB8978-1996)</w:t>
                  </w:r>
                </w:p>
              </w:tc>
              <w:tc>
                <w:tcPr>
                  <w:tcW w:w="1375" w:type="dxa"/>
                  <w:vMerge w:val="restart"/>
                  <w:vAlign w:val="center"/>
                </w:tcPr>
                <w:p>
                  <w:pPr>
                    <w:jc w:val="center"/>
                    <w:rPr>
                      <w:color w:val="auto"/>
                      <w:szCs w:val="21"/>
                      <w:highlight w:val="none"/>
                    </w:rPr>
                  </w:pPr>
                  <w:r>
                    <w:rPr>
                      <w:bCs/>
                      <w:color w:val="auto"/>
                      <w:highlight w:val="none"/>
                    </w:rPr>
                    <w:t>表4三级标准</w:t>
                  </w:r>
                </w:p>
              </w:tc>
              <w:tc>
                <w:tcPr>
                  <w:tcW w:w="1287" w:type="dxa"/>
                  <w:vAlign w:val="center"/>
                </w:tcPr>
                <w:p>
                  <w:pPr>
                    <w:jc w:val="center"/>
                    <w:rPr>
                      <w:color w:val="auto"/>
                      <w:szCs w:val="21"/>
                      <w:highlight w:val="none"/>
                    </w:rPr>
                  </w:pPr>
                  <w:r>
                    <w:rPr>
                      <w:color w:val="auto"/>
                      <w:highlight w:val="none"/>
                    </w:rPr>
                    <w:t>pH</w:t>
                  </w:r>
                </w:p>
              </w:tc>
              <w:tc>
                <w:tcPr>
                  <w:tcW w:w="925" w:type="dxa"/>
                  <w:vAlign w:val="center"/>
                </w:tcPr>
                <w:p>
                  <w:pPr>
                    <w:jc w:val="center"/>
                    <w:rPr>
                      <w:color w:val="auto"/>
                      <w:szCs w:val="21"/>
                      <w:highlight w:val="none"/>
                    </w:rPr>
                  </w:pPr>
                  <w:r>
                    <w:rPr>
                      <w:color w:val="auto"/>
                      <w:highlight w:val="none"/>
                    </w:rPr>
                    <w:t>无量纲</w:t>
                  </w:r>
                </w:p>
              </w:tc>
              <w:tc>
                <w:tcPr>
                  <w:tcW w:w="1130" w:type="dxa"/>
                  <w:vAlign w:val="center"/>
                </w:tcPr>
                <w:p>
                  <w:pPr>
                    <w:jc w:val="center"/>
                    <w:rPr>
                      <w:color w:val="auto"/>
                      <w:szCs w:val="21"/>
                      <w:highlight w:val="none"/>
                    </w:rPr>
                  </w:pPr>
                  <w:r>
                    <w:rPr>
                      <w:color w:val="auto"/>
                      <w:highlight w:val="none"/>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9" w:type="dxa"/>
                  <w:vMerge w:val="continue"/>
                  <w:vAlign w:val="center"/>
                </w:tcPr>
                <w:p>
                  <w:pPr>
                    <w:jc w:val="center"/>
                    <w:rPr>
                      <w:color w:val="auto"/>
                      <w:szCs w:val="21"/>
                      <w:highlight w:val="none"/>
                    </w:rPr>
                  </w:pPr>
                </w:p>
              </w:tc>
              <w:tc>
                <w:tcPr>
                  <w:tcW w:w="2475" w:type="dxa"/>
                  <w:vMerge w:val="continue"/>
                  <w:vAlign w:val="center"/>
                </w:tcPr>
                <w:p>
                  <w:pPr>
                    <w:jc w:val="center"/>
                    <w:rPr>
                      <w:color w:val="auto"/>
                      <w:szCs w:val="21"/>
                      <w:highlight w:val="none"/>
                    </w:rPr>
                  </w:pPr>
                </w:p>
              </w:tc>
              <w:tc>
                <w:tcPr>
                  <w:tcW w:w="1375" w:type="dxa"/>
                  <w:vMerge w:val="continue"/>
                  <w:vAlign w:val="center"/>
                </w:tcPr>
                <w:p>
                  <w:pPr>
                    <w:jc w:val="center"/>
                    <w:rPr>
                      <w:color w:val="auto"/>
                      <w:szCs w:val="21"/>
                      <w:highlight w:val="none"/>
                    </w:rPr>
                  </w:pPr>
                </w:p>
              </w:tc>
              <w:tc>
                <w:tcPr>
                  <w:tcW w:w="1287" w:type="dxa"/>
                  <w:vAlign w:val="center"/>
                </w:tcPr>
                <w:p>
                  <w:pPr>
                    <w:jc w:val="center"/>
                    <w:rPr>
                      <w:color w:val="auto"/>
                      <w:szCs w:val="21"/>
                      <w:highlight w:val="none"/>
                    </w:rPr>
                  </w:pPr>
                  <w:r>
                    <w:rPr>
                      <w:color w:val="auto"/>
                      <w:highlight w:val="none"/>
                    </w:rPr>
                    <w:t>COD</w:t>
                  </w:r>
                </w:p>
              </w:tc>
              <w:tc>
                <w:tcPr>
                  <w:tcW w:w="925" w:type="dxa"/>
                  <w:vMerge w:val="restart"/>
                  <w:vAlign w:val="center"/>
                </w:tcPr>
                <w:p>
                  <w:pPr>
                    <w:ind w:firstLine="105" w:firstLineChars="50"/>
                    <w:jc w:val="center"/>
                    <w:rPr>
                      <w:color w:val="auto"/>
                      <w:szCs w:val="21"/>
                      <w:highlight w:val="none"/>
                    </w:rPr>
                  </w:pPr>
                  <w:r>
                    <w:rPr>
                      <w:color w:val="auto"/>
                      <w:highlight w:val="none"/>
                    </w:rPr>
                    <w:t>mg/L</w:t>
                  </w:r>
                </w:p>
              </w:tc>
              <w:tc>
                <w:tcPr>
                  <w:tcW w:w="1130" w:type="dxa"/>
                  <w:vAlign w:val="center"/>
                </w:tcPr>
                <w:p>
                  <w:pPr>
                    <w:jc w:val="center"/>
                    <w:rPr>
                      <w:color w:val="auto"/>
                      <w:szCs w:val="21"/>
                      <w:highlight w:val="none"/>
                    </w:rPr>
                  </w:pPr>
                  <w:r>
                    <w:rPr>
                      <w:color w:val="auto"/>
                      <w:highlight w:val="none"/>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9" w:type="dxa"/>
                  <w:vMerge w:val="continue"/>
                  <w:vAlign w:val="center"/>
                </w:tcPr>
                <w:p>
                  <w:pPr>
                    <w:jc w:val="center"/>
                    <w:rPr>
                      <w:color w:val="auto"/>
                      <w:szCs w:val="21"/>
                      <w:highlight w:val="none"/>
                    </w:rPr>
                  </w:pPr>
                </w:p>
              </w:tc>
              <w:tc>
                <w:tcPr>
                  <w:tcW w:w="2475" w:type="dxa"/>
                  <w:vMerge w:val="continue"/>
                  <w:vAlign w:val="center"/>
                </w:tcPr>
                <w:p>
                  <w:pPr>
                    <w:jc w:val="center"/>
                    <w:rPr>
                      <w:color w:val="auto"/>
                      <w:szCs w:val="21"/>
                      <w:highlight w:val="none"/>
                    </w:rPr>
                  </w:pPr>
                </w:p>
              </w:tc>
              <w:tc>
                <w:tcPr>
                  <w:tcW w:w="1375" w:type="dxa"/>
                  <w:vMerge w:val="continue"/>
                  <w:vAlign w:val="center"/>
                </w:tcPr>
                <w:p>
                  <w:pPr>
                    <w:jc w:val="center"/>
                    <w:rPr>
                      <w:color w:val="auto"/>
                      <w:szCs w:val="21"/>
                      <w:highlight w:val="none"/>
                    </w:rPr>
                  </w:pPr>
                </w:p>
              </w:tc>
              <w:tc>
                <w:tcPr>
                  <w:tcW w:w="1287" w:type="dxa"/>
                  <w:vAlign w:val="center"/>
                </w:tcPr>
                <w:p>
                  <w:pPr>
                    <w:jc w:val="center"/>
                    <w:rPr>
                      <w:color w:val="auto"/>
                      <w:szCs w:val="21"/>
                      <w:highlight w:val="none"/>
                    </w:rPr>
                  </w:pPr>
                  <w:r>
                    <w:rPr>
                      <w:color w:val="auto"/>
                      <w:highlight w:val="none"/>
                    </w:rPr>
                    <w:t>SS</w:t>
                  </w:r>
                </w:p>
              </w:tc>
              <w:tc>
                <w:tcPr>
                  <w:tcW w:w="925" w:type="dxa"/>
                  <w:vMerge w:val="continue"/>
                  <w:vAlign w:val="center"/>
                </w:tcPr>
                <w:p>
                  <w:pPr>
                    <w:jc w:val="center"/>
                    <w:rPr>
                      <w:color w:val="auto"/>
                      <w:szCs w:val="21"/>
                      <w:highlight w:val="none"/>
                    </w:rPr>
                  </w:pPr>
                </w:p>
              </w:tc>
              <w:tc>
                <w:tcPr>
                  <w:tcW w:w="1130" w:type="dxa"/>
                  <w:vAlign w:val="center"/>
                </w:tcPr>
                <w:p>
                  <w:pPr>
                    <w:jc w:val="center"/>
                    <w:rPr>
                      <w:color w:val="auto"/>
                      <w:szCs w:val="21"/>
                      <w:highlight w:val="none"/>
                    </w:rPr>
                  </w:pPr>
                  <w:r>
                    <w:rPr>
                      <w:color w:val="auto"/>
                      <w:highlight w:val="none"/>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9" w:type="dxa"/>
                  <w:vMerge w:val="continue"/>
                  <w:vAlign w:val="center"/>
                </w:tcPr>
                <w:p>
                  <w:pPr>
                    <w:jc w:val="center"/>
                    <w:rPr>
                      <w:color w:val="auto"/>
                      <w:szCs w:val="21"/>
                      <w:highlight w:val="none"/>
                    </w:rPr>
                  </w:pPr>
                </w:p>
              </w:tc>
              <w:tc>
                <w:tcPr>
                  <w:tcW w:w="2475" w:type="dxa"/>
                  <w:vMerge w:val="restart"/>
                  <w:vAlign w:val="center"/>
                </w:tcPr>
                <w:p>
                  <w:pPr>
                    <w:jc w:val="center"/>
                    <w:rPr>
                      <w:color w:val="auto"/>
                      <w:szCs w:val="21"/>
                      <w:highlight w:val="none"/>
                    </w:rPr>
                  </w:pPr>
                  <w:r>
                    <w:rPr>
                      <w:bCs/>
                      <w:color w:val="auto"/>
                      <w:highlight w:val="none"/>
                    </w:rPr>
                    <w:t>《污水排入城镇下水道水质标准》（GB/T31962-2015）</w:t>
                  </w:r>
                </w:p>
              </w:tc>
              <w:tc>
                <w:tcPr>
                  <w:tcW w:w="1375" w:type="dxa"/>
                  <w:vMerge w:val="restart"/>
                  <w:vAlign w:val="center"/>
                </w:tcPr>
                <w:p>
                  <w:pPr>
                    <w:jc w:val="center"/>
                    <w:rPr>
                      <w:bCs/>
                      <w:color w:val="auto"/>
                      <w:highlight w:val="none"/>
                    </w:rPr>
                  </w:pPr>
                  <w:r>
                    <w:rPr>
                      <w:bCs/>
                      <w:color w:val="auto"/>
                      <w:highlight w:val="none"/>
                    </w:rPr>
                    <w:t>表1</w:t>
                  </w:r>
                </w:p>
                <w:p>
                  <w:pPr>
                    <w:jc w:val="center"/>
                    <w:rPr>
                      <w:color w:val="auto"/>
                      <w:szCs w:val="21"/>
                      <w:highlight w:val="none"/>
                    </w:rPr>
                  </w:pPr>
                  <w:r>
                    <w:rPr>
                      <w:bCs/>
                      <w:color w:val="auto"/>
                      <w:highlight w:val="none"/>
                    </w:rPr>
                    <w:t>B等级</w:t>
                  </w:r>
                </w:p>
              </w:tc>
              <w:tc>
                <w:tcPr>
                  <w:tcW w:w="1287" w:type="dxa"/>
                  <w:vAlign w:val="center"/>
                </w:tcPr>
                <w:p>
                  <w:pPr>
                    <w:jc w:val="center"/>
                    <w:rPr>
                      <w:color w:val="auto"/>
                      <w:szCs w:val="21"/>
                      <w:highlight w:val="none"/>
                    </w:rPr>
                  </w:pPr>
                  <w:r>
                    <w:rPr>
                      <w:color w:val="auto"/>
                      <w:highlight w:val="none"/>
                    </w:rPr>
                    <w:t>氨氮</w:t>
                  </w:r>
                </w:p>
              </w:tc>
              <w:tc>
                <w:tcPr>
                  <w:tcW w:w="925" w:type="dxa"/>
                  <w:vMerge w:val="continue"/>
                  <w:vAlign w:val="center"/>
                </w:tcPr>
                <w:p>
                  <w:pPr>
                    <w:jc w:val="center"/>
                    <w:rPr>
                      <w:color w:val="auto"/>
                      <w:szCs w:val="21"/>
                      <w:highlight w:val="none"/>
                    </w:rPr>
                  </w:pPr>
                </w:p>
              </w:tc>
              <w:tc>
                <w:tcPr>
                  <w:tcW w:w="1130" w:type="dxa"/>
                  <w:vAlign w:val="center"/>
                </w:tcPr>
                <w:p>
                  <w:pPr>
                    <w:jc w:val="center"/>
                    <w:rPr>
                      <w:color w:val="auto"/>
                      <w:szCs w:val="21"/>
                      <w:highlight w:val="none"/>
                    </w:rPr>
                  </w:pPr>
                  <w:r>
                    <w:rPr>
                      <w:color w:val="auto"/>
                      <w:highlight w:val="none"/>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9" w:type="dxa"/>
                  <w:vMerge w:val="continue"/>
                  <w:vAlign w:val="center"/>
                </w:tcPr>
                <w:p>
                  <w:pPr>
                    <w:jc w:val="center"/>
                    <w:rPr>
                      <w:color w:val="auto"/>
                      <w:szCs w:val="21"/>
                      <w:highlight w:val="none"/>
                    </w:rPr>
                  </w:pPr>
                </w:p>
              </w:tc>
              <w:tc>
                <w:tcPr>
                  <w:tcW w:w="2475" w:type="dxa"/>
                  <w:vMerge w:val="continue"/>
                  <w:vAlign w:val="center"/>
                </w:tcPr>
                <w:p>
                  <w:pPr>
                    <w:jc w:val="center"/>
                    <w:rPr>
                      <w:color w:val="auto"/>
                      <w:szCs w:val="21"/>
                      <w:highlight w:val="none"/>
                    </w:rPr>
                  </w:pPr>
                </w:p>
              </w:tc>
              <w:tc>
                <w:tcPr>
                  <w:tcW w:w="1375" w:type="dxa"/>
                  <w:vMerge w:val="continue"/>
                  <w:vAlign w:val="center"/>
                </w:tcPr>
                <w:p>
                  <w:pPr>
                    <w:jc w:val="center"/>
                    <w:rPr>
                      <w:color w:val="auto"/>
                      <w:szCs w:val="21"/>
                      <w:highlight w:val="none"/>
                    </w:rPr>
                  </w:pPr>
                </w:p>
              </w:tc>
              <w:tc>
                <w:tcPr>
                  <w:tcW w:w="1287" w:type="dxa"/>
                  <w:vAlign w:val="center"/>
                </w:tcPr>
                <w:p>
                  <w:pPr>
                    <w:jc w:val="center"/>
                    <w:rPr>
                      <w:color w:val="auto"/>
                      <w:szCs w:val="21"/>
                      <w:highlight w:val="none"/>
                    </w:rPr>
                  </w:pPr>
                  <w:r>
                    <w:rPr>
                      <w:color w:val="auto"/>
                      <w:highlight w:val="none"/>
                    </w:rPr>
                    <w:t>总磷</w:t>
                  </w:r>
                </w:p>
              </w:tc>
              <w:tc>
                <w:tcPr>
                  <w:tcW w:w="925" w:type="dxa"/>
                  <w:vMerge w:val="continue"/>
                  <w:vAlign w:val="center"/>
                </w:tcPr>
                <w:p>
                  <w:pPr>
                    <w:jc w:val="center"/>
                    <w:rPr>
                      <w:color w:val="auto"/>
                      <w:szCs w:val="21"/>
                      <w:highlight w:val="none"/>
                    </w:rPr>
                  </w:pPr>
                </w:p>
              </w:tc>
              <w:tc>
                <w:tcPr>
                  <w:tcW w:w="1130" w:type="dxa"/>
                  <w:vAlign w:val="center"/>
                </w:tcPr>
                <w:p>
                  <w:pPr>
                    <w:jc w:val="center"/>
                    <w:rPr>
                      <w:color w:val="auto"/>
                      <w:szCs w:val="21"/>
                      <w:highlight w:val="none"/>
                    </w:rPr>
                  </w:pPr>
                  <w:r>
                    <w:rPr>
                      <w:color w:val="auto"/>
                      <w:highlight w:val="none"/>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9" w:type="dxa"/>
                  <w:vMerge w:val="restart"/>
                  <w:vAlign w:val="center"/>
                </w:tcPr>
                <w:p>
                  <w:pPr>
                    <w:jc w:val="center"/>
                    <w:rPr>
                      <w:color w:val="auto"/>
                      <w:szCs w:val="21"/>
                      <w:highlight w:val="none"/>
                    </w:rPr>
                  </w:pPr>
                  <w:r>
                    <w:rPr>
                      <w:color w:val="auto"/>
                      <w:szCs w:val="21"/>
                      <w:highlight w:val="none"/>
                    </w:rPr>
                    <w:t>回用水标准</w:t>
                  </w:r>
                </w:p>
              </w:tc>
              <w:tc>
                <w:tcPr>
                  <w:tcW w:w="2475" w:type="dxa"/>
                  <w:vMerge w:val="restart"/>
                  <w:vAlign w:val="center"/>
                </w:tcPr>
                <w:p>
                  <w:pPr>
                    <w:adjustRightInd w:val="0"/>
                    <w:snapToGrid w:val="0"/>
                    <w:jc w:val="center"/>
                    <w:rPr>
                      <w:color w:val="auto"/>
                      <w:kern w:val="0"/>
                      <w:szCs w:val="21"/>
                      <w:highlight w:val="none"/>
                    </w:rPr>
                  </w:pPr>
                  <w:r>
                    <w:rPr>
                      <w:color w:val="auto"/>
                      <w:kern w:val="0"/>
                      <w:szCs w:val="21"/>
                      <w:highlight w:val="none"/>
                    </w:rPr>
                    <w:t>《城市污水再生利用城市杂用水水质》</w:t>
                  </w:r>
                </w:p>
                <w:p>
                  <w:pPr>
                    <w:jc w:val="center"/>
                    <w:rPr>
                      <w:color w:val="auto"/>
                      <w:szCs w:val="21"/>
                      <w:highlight w:val="none"/>
                    </w:rPr>
                  </w:pPr>
                  <w:r>
                    <w:rPr>
                      <w:color w:val="auto"/>
                      <w:kern w:val="0"/>
                      <w:szCs w:val="21"/>
                      <w:highlight w:val="none"/>
                    </w:rPr>
                    <w:t>（GB/T18920-20</w:t>
                  </w:r>
                  <w:r>
                    <w:rPr>
                      <w:rFonts w:hint="eastAsia"/>
                      <w:color w:val="auto"/>
                      <w:kern w:val="0"/>
                      <w:szCs w:val="21"/>
                      <w:highlight w:val="none"/>
                    </w:rPr>
                    <w:t>20</w:t>
                  </w:r>
                  <w:r>
                    <w:rPr>
                      <w:color w:val="auto"/>
                      <w:kern w:val="0"/>
                      <w:szCs w:val="21"/>
                      <w:highlight w:val="none"/>
                    </w:rPr>
                    <w:t>）</w:t>
                  </w:r>
                </w:p>
              </w:tc>
              <w:tc>
                <w:tcPr>
                  <w:tcW w:w="1375" w:type="dxa"/>
                  <w:vMerge w:val="restart"/>
                  <w:vAlign w:val="center"/>
                </w:tcPr>
                <w:p>
                  <w:pPr>
                    <w:jc w:val="center"/>
                    <w:rPr>
                      <w:color w:val="auto"/>
                      <w:szCs w:val="21"/>
                      <w:highlight w:val="none"/>
                    </w:rPr>
                  </w:pPr>
                  <w:r>
                    <w:rPr>
                      <w:color w:val="auto"/>
                      <w:szCs w:val="21"/>
                      <w:highlight w:val="none"/>
                    </w:rPr>
                    <w:t>表1城市杂用水水质标准</w:t>
                  </w:r>
                </w:p>
              </w:tc>
              <w:tc>
                <w:tcPr>
                  <w:tcW w:w="1287" w:type="dxa"/>
                  <w:vAlign w:val="center"/>
                </w:tcPr>
                <w:p>
                  <w:pPr>
                    <w:adjustRightInd w:val="0"/>
                    <w:snapToGrid w:val="0"/>
                    <w:jc w:val="center"/>
                    <w:rPr>
                      <w:color w:val="auto"/>
                      <w:szCs w:val="21"/>
                      <w:highlight w:val="none"/>
                    </w:rPr>
                  </w:pPr>
                  <w:r>
                    <w:rPr>
                      <w:color w:val="auto"/>
                      <w:szCs w:val="21"/>
                      <w:highlight w:val="none"/>
                    </w:rPr>
                    <w:t>pH</w:t>
                  </w:r>
                </w:p>
              </w:tc>
              <w:tc>
                <w:tcPr>
                  <w:tcW w:w="925" w:type="dxa"/>
                  <w:vAlign w:val="center"/>
                </w:tcPr>
                <w:p>
                  <w:pPr>
                    <w:jc w:val="center"/>
                    <w:rPr>
                      <w:color w:val="auto"/>
                      <w:szCs w:val="21"/>
                      <w:highlight w:val="none"/>
                    </w:rPr>
                  </w:pPr>
                  <w:r>
                    <w:rPr>
                      <w:color w:val="auto"/>
                      <w:highlight w:val="none"/>
                    </w:rPr>
                    <w:t>无量纲</w:t>
                  </w:r>
                </w:p>
              </w:tc>
              <w:tc>
                <w:tcPr>
                  <w:tcW w:w="1130" w:type="dxa"/>
                  <w:vAlign w:val="center"/>
                </w:tcPr>
                <w:p>
                  <w:pPr>
                    <w:adjustRightInd w:val="0"/>
                    <w:snapToGrid w:val="0"/>
                    <w:jc w:val="center"/>
                    <w:rPr>
                      <w:color w:val="auto"/>
                      <w:szCs w:val="21"/>
                      <w:highlight w:val="none"/>
                    </w:rPr>
                  </w:pPr>
                  <w:r>
                    <w:rPr>
                      <w:color w:val="auto"/>
                      <w:szCs w:val="21"/>
                      <w:highlight w:val="none"/>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9" w:type="dxa"/>
                  <w:vMerge w:val="continue"/>
                  <w:vAlign w:val="center"/>
                </w:tcPr>
                <w:p>
                  <w:pPr>
                    <w:jc w:val="center"/>
                    <w:rPr>
                      <w:color w:val="auto"/>
                      <w:szCs w:val="21"/>
                      <w:highlight w:val="none"/>
                    </w:rPr>
                  </w:pPr>
                </w:p>
              </w:tc>
              <w:tc>
                <w:tcPr>
                  <w:tcW w:w="2475" w:type="dxa"/>
                  <w:vMerge w:val="continue"/>
                  <w:vAlign w:val="center"/>
                </w:tcPr>
                <w:p>
                  <w:pPr>
                    <w:jc w:val="center"/>
                    <w:rPr>
                      <w:color w:val="auto"/>
                      <w:kern w:val="0"/>
                      <w:szCs w:val="21"/>
                      <w:highlight w:val="none"/>
                    </w:rPr>
                  </w:pPr>
                </w:p>
              </w:tc>
              <w:tc>
                <w:tcPr>
                  <w:tcW w:w="1375" w:type="dxa"/>
                  <w:vMerge w:val="continue"/>
                  <w:vAlign w:val="center"/>
                </w:tcPr>
                <w:p>
                  <w:pPr>
                    <w:jc w:val="center"/>
                    <w:rPr>
                      <w:color w:val="auto"/>
                      <w:szCs w:val="21"/>
                      <w:highlight w:val="none"/>
                    </w:rPr>
                  </w:pPr>
                </w:p>
              </w:tc>
              <w:tc>
                <w:tcPr>
                  <w:tcW w:w="1287" w:type="dxa"/>
                  <w:vAlign w:val="center"/>
                </w:tcPr>
                <w:p>
                  <w:pPr>
                    <w:adjustRightInd w:val="0"/>
                    <w:snapToGrid w:val="0"/>
                    <w:jc w:val="center"/>
                    <w:rPr>
                      <w:color w:val="auto"/>
                      <w:szCs w:val="21"/>
                      <w:highlight w:val="none"/>
                    </w:rPr>
                  </w:pPr>
                  <w:r>
                    <w:rPr>
                      <w:color w:val="auto"/>
                      <w:szCs w:val="21"/>
                      <w:highlight w:val="none"/>
                    </w:rPr>
                    <w:t>浊度</w:t>
                  </w:r>
                </w:p>
              </w:tc>
              <w:tc>
                <w:tcPr>
                  <w:tcW w:w="925" w:type="dxa"/>
                  <w:vAlign w:val="center"/>
                </w:tcPr>
                <w:p>
                  <w:pPr>
                    <w:jc w:val="center"/>
                    <w:rPr>
                      <w:color w:val="auto"/>
                      <w:szCs w:val="21"/>
                      <w:highlight w:val="none"/>
                    </w:rPr>
                  </w:pPr>
                  <w:r>
                    <w:rPr>
                      <w:color w:val="auto"/>
                      <w:szCs w:val="21"/>
                      <w:highlight w:val="none"/>
                    </w:rPr>
                    <w:t>NTU</w:t>
                  </w:r>
                </w:p>
              </w:tc>
              <w:tc>
                <w:tcPr>
                  <w:tcW w:w="1130" w:type="dxa"/>
                  <w:vAlign w:val="center"/>
                </w:tcPr>
                <w:p>
                  <w:pPr>
                    <w:adjustRightInd w:val="0"/>
                    <w:snapToGrid w:val="0"/>
                    <w:jc w:val="center"/>
                    <w:rPr>
                      <w:color w:val="auto"/>
                      <w:szCs w:val="21"/>
                      <w:highlight w:val="none"/>
                    </w:rPr>
                  </w:pPr>
                  <w:r>
                    <w:rPr>
                      <w:rFonts w:hint="eastAsia"/>
                      <w:color w:val="auto"/>
                      <w:szCs w:val="21"/>
                      <w:highlight w:val="none"/>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9" w:type="dxa"/>
                  <w:vMerge w:val="continue"/>
                  <w:vAlign w:val="center"/>
                </w:tcPr>
                <w:p>
                  <w:pPr>
                    <w:jc w:val="center"/>
                    <w:rPr>
                      <w:color w:val="auto"/>
                      <w:szCs w:val="21"/>
                      <w:highlight w:val="none"/>
                    </w:rPr>
                  </w:pPr>
                </w:p>
              </w:tc>
              <w:tc>
                <w:tcPr>
                  <w:tcW w:w="2475" w:type="dxa"/>
                  <w:vMerge w:val="continue"/>
                  <w:vAlign w:val="center"/>
                </w:tcPr>
                <w:p>
                  <w:pPr>
                    <w:jc w:val="center"/>
                    <w:rPr>
                      <w:color w:val="auto"/>
                      <w:kern w:val="0"/>
                      <w:szCs w:val="21"/>
                      <w:highlight w:val="none"/>
                    </w:rPr>
                  </w:pPr>
                </w:p>
              </w:tc>
              <w:tc>
                <w:tcPr>
                  <w:tcW w:w="1375" w:type="dxa"/>
                  <w:vMerge w:val="continue"/>
                  <w:vAlign w:val="center"/>
                </w:tcPr>
                <w:p>
                  <w:pPr>
                    <w:jc w:val="center"/>
                    <w:rPr>
                      <w:color w:val="auto"/>
                      <w:szCs w:val="21"/>
                      <w:highlight w:val="none"/>
                    </w:rPr>
                  </w:pPr>
                </w:p>
              </w:tc>
              <w:tc>
                <w:tcPr>
                  <w:tcW w:w="1287" w:type="dxa"/>
                  <w:vAlign w:val="center"/>
                </w:tcPr>
                <w:p>
                  <w:pPr>
                    <w:adjustRightInd w:val="0"/>
                    <w:snapToGrid w:val="0"/>
                    <w:jc w:val="center"/>
                    <w:rPr>
                      <w:color w:val="auto"/>
                      <w:szCs w:val="21"/>
                      <w:highlight w:val="none"/>
                    </w:rPr>
                  </w:pPr>
                  <w:r>
                    <w:rPr>
                      <w:color w:val="auto"/>
                      <w:szCs w:val="21"/>
                      <w:highlight w:val="none"/>
                    </w:rPr>
                    <w:t>BOD</w:t>
                  </w:r>
                  <w:r>
                    <w:rPr>
                      <w:color w:val="auto"/>
                      <w:szCs w:val="21"/>
                      <w:highlight w:val="none"/>
                      <w:vertAlign w:val="subscript"/>
                    </w:rPr>
                    <w:t>5</w:t>
                  </w:r>
                </w:p>
              </w:tc>
              <w:tc>
                <w:tcPr>
                  <w:tcW w:w="925" w:type="dxa"/>
                  <w:vAlign w:val="center"/>
                </w:tcPr>
                <w:p>
                  <w:pPr>
                    <w:jc w:val="center"/>
                    <w:rPr>
                      <w:color w:val="auto"/>
                      <w:szCs w:val="21"/>
                      <w:highlight w:val="none"/>
                    </w:rPr>
                  </w:pPr>
                  <w:r>
                    <w:rPr>
                      <w:color w:val="auto"/>
                      <w:szCs w:val="21"/>
                      <w:highlight w:val="none"/>
                    </w:rPr>
                    <w:t>mg/L</w:t>
                  </w:r>
                </w:p>
              </w:tc>
              <w:tc>
                <w:tcPr>
                  <w:tcW w:w="1130" w:type="dxa"/>
                  <w:vAlign w:val="center"/>
                </w:tcPr>
                <w:p>
                  <w:pPr>
                    <w:adjustRightInd w:val="0"/>
                    <w:snapToGrid w:val="0"/>
                    <w:jc w:val="center"/>
                    <w:rPr>
                      <w:color w:val="auto"/>
                      <w:szCs w:val="21"/>
                      <w:highlight w:val="none"/>
                    </w:rPr>
                  </w:pPr>
                  <w:r>
                    <w:rPr>
                      <w:rFonts w:hint="eastAsia"/>
                      <w:color w:val="auto"/>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9" w:type="dxa"/>
                  <w:vMerge w:val="continue"/>
                  <w:vAlign w:val="center"/>
                </w:tcPr>
                <w:p>
                  <w:pPr>
                    <w:jc w:val="center"/>
                    <w:rPr>
                      <w:color w:val="auto"/>
                      <w:szCs w:val="21"/>
                      <w:highlight w:val="none"/>
                    </w:rPr>
                  </w:pPr>
                </w:p>
              </w:tc>
              <w:tc>
                <w:tcPr>
                  <w:tcW w:w="2475" w:type="dxa"/>
                  <w:vMerge w:val="continue"/>
                  <w:vAlign w:val="center"/>
                </w:tcPr>
                <w:p>
                  <w:pPr>
                    <w:jc w:val="center"/>
                    <w:rPr>
                      <w:color w:val="auto"/>
                      <w:kern w:val="0"/>
                      <w:szCs w:val="21"/>
                      <w:highlight w:val="none"/>
                    </w:rPr>
                  </w:pPr>
                </w:p>
              </w:tc>
              <w:tc>
                <w:tcPr>
                  <w:tcW w:w="1375" w:type="dxa"/>
                  <w:vMerge w:val="continue"/>
                  <w:vAlign w:val="center"/>
                </w:tcPr>
                <w:p>
                  <w:pPr>
                    <w:jc w:val="center"/>
                    <w:rPr>
                      <w:color w:val="auto"/>
                      <w:szCs w:val="21"/>
                      <w:highlight w:val="none"/>
                    </w:rPr>
                  </w:pPr>
                </w:p>
              </w:tc>
              <w:tc>
                <w:tcPr>
                  <w:tcW w:w="1287" w:type="dxa"/>
                  <w:vAlign w:val="center"/>
                </w:tcPr>
                <w:p>
                  <w:pPr>
                    <w:adjustRightInd w:val="0"/>
                    <w:snapToGrid w:val="0"/>
                    <w:jc w:val="center"/>
                    <w:rPr>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c>
                <w:tcPr>
                  <w:tcW w:w="925" w:type="dxa"/>
                  <w:vAlign w:val="center"/>
                </w:tcPr>
                <w:p>
                  <w:pPr>
                    <w:jc w:val="center"/>
                    <w:rPr>
                      <w:color w:val="auto"/>
                      <w:szCs w:val="21"/>
                      <w:highlight w:val="none"/>
                    </w:rPr>
                  </w:pPr>
                  <w:r>
                    <w:rPr>
                      <w:color w:val="auto"/>
                      <w:szCs w:val="21"/>
                      <w:highlight w:val="none"/>
                    </w:rPr>
                    <w:t>mg/L</w:t>
                  </w:r>
                </w:p>
              </w:tc>
              <w:tc>
                <w:tcPr>
                  <w:tcW w:w="1130" w:type="dxa"/>
                  <w:vAlign w:val="center"/>
                </w:tcPr>
                <w:p>
                  <w:pPr>
                    <w:adjustRightInd w:val="0"/>
                    <w:snapToGrid w:val="0"/>
                    <w:jc w:val="center"/>
                    <w:rPr>
                      <w:color w:val="auto"/>
                      <w:szCs w:val="21"/>
                      <w:highlight w:val="none"/>
                    </w:rPr>
                  </w:pPr>
                  <w:r>
                    <w:rPr>
                      <w:rFonts w:hint="eastAsia"/>
                      <w:color w:val="auto"/>
                      <w:szCs w:val="21"/>
                      <w:highlight w:val="none"/>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9" w:type="dxa"/>
                  <w:vMerge w:val="continue"/>
                  <w:vAlign w:val="center"/>
                </w:tcPr>
                <w:p>
                  <w:pPr>
                    <w:jc w:val="center"/>
                    <w:rPr>
                      <w:color w:val="auto"/>
                      <w:szCs w:val="21"/>
                      <w:highlight w:val="none"/>
                    </w:rPr>
                  </w:pPr>
                </w:p>
              </w:tc>
              <w:tc>
                <w:tcPr>
                  <w:tcW w:w="2475" w:type="dxa"/>
                  <w:vMerge w:val="continue"/>
                  <w:vAlign w:val="center"/>
                </w:tcPr>
                <w:p>
                  <w:pPr>
                    <w:jc w:val="center"/>
                    <w:rPr>
                      <w:color w:val="auto"/>
                      <w:kern w:val="0"/>
                      <w:szCs w:val="21"/>
                      <w:highlight w:val="none"/>
                    </w:rPr>
                  </w:pPr>
                </w:p>
              </w:tc>
              <w:tc>
                <w:tcPr>
                  <w:tcW w:w="1375" w:type="dxa"/>
                  <w:vMerge w:val="continue"/>
                  <w:vAlign w:val="center"/>
                </w:tcPr>
                <w:p>
                  <w:pPr>
                    <w:jc w:val="center"/>
                    <w:rPr>
                      <w:color w:val="auto"/>
                      <w:szCs w:val="21"/>
                      <w:highlight w:val="none"/>
                    </w:rPr>
                  </w:pPr>
                </w:p>
              </w:tc>
              <w:tc>
                <w:tcPr>
                  <w:tcW w:w="1287" w:type="dxa"/>
                  <w:vAlign w:val="center"/>
                </w:tcPr>
                <w:p>
                  <w:pPr>
                    <w:adjustRightInd w:val="0"/>
                    <w:snapToGrid w:val="0"/>
                    <w:jc w:val="center"/>
                    <w:rPr>
                      <w:color w:val="auto"/>
                      <w:szCs w:val="21"/>
                      <w:highlight w:val="none"/>
                    </w:rPr>
                  </w:pPr>
                  <w:r>
                    <w:rPr>
                      <w:color w:val="auto"/>
                      <w:szCs w:val="21"/>
                      <w:highlight w:val="none"/>
                    </w:rPr>
                    <w:t>阴离子表面活性剂</w:t>
                  </w:r>
                </w:p>
              </w:tc>
              <w:tc>
                <w:tcPr>
                  <w:tcW w:w="925" w:type="dxa"/>
                  <w:vAlign w:val="center"/>
                </w:tcPr>
                <w:p>
                  <w:pPr>
                    <w:jc w:val="center"/>
                    <w:rPr>
                      <w:color w:val="auto"/>
                      <w:szCs w:val="21"/>
                      <w:highlight w:val="none"/>
                    </w:rPr>
                  </w:pPr>
                  <w:r>
                    <w:rPr>
                      <w:color w:val="auto"/>
                      <w:szCs w:val="21"/>
                      <w:highlight w:val="none"/>
                    </w:rPr>
                    <w:t>mg/L</w:t>
                  </w:r>
                </w:p>
              </w:tc>
              <w:tc>
                <w:tcPr>
                  <w:tcW w:w="1130" w:type="dxa"/>
                  <w:vAlign w:val="center"/>
                </w:tcPr>
                <w:p>
                  <w:pPr>
                    <w:adjustRightInd w:val="0"/>
                    <w:snapToGrid w:val="0"/>
                    <w:jc w:val="center"/>
                    <w:rPr>
                      <w:color w:val="auto"/>
                      <w:szCs w:val="21"/>
                      <w:highlight w:val="none"/>
                    </w:rPr>
                  </w:pPr>
                  <w:r>
                    <w:rPr>
                      <w:rFonts w:hint="eastAsia"/>
                      <w:color w:val="auto"/>
                      <w:szCs w:val="21"/>
                      <w:highlight w:val="none"/>
                    </w:rPr>
                    <w:t>0.5</w:t>
                  </w:r>
                </w:p>
              </w:tc>
            </w:tr>
          </w:tbl>
          <w:p>
            <w:pPr>
              <w:widowControl/>
              <w:rPr>
                <w:rFonts w:ascii="宋体" w:hAnsi="宋体" w:cs="宋体"/>
                <w:color w:val="auto"/>
                <w:kern w:val="0"/>
                <w:szCs w:val="21"/>
                <w:highlight w:val="none"/>
              </w:rPr>
            </w:pPr>
            <w:r>
              <w:rPr>
                <w:rFonts w:hint="eastAsia" w:ascii="宋体" w:hAnsi="宋体" w:cs="宋体"/>
                <w:color w:val="auto"/>
                <w:kern w:val="0"/>
                <w:szCs w:val="21"/>
                <w:highlight w:val="none"/>
              </w:rPr>
              <w:t>注：*括号数值为水温＞12℃时的控制指标，括号内数值为水温≤12℃时的控制指标。</w:t>
            </w:r>
          </w:p>
          <w:p>
            <w:pPr>
              <w:spacing w:line="360" w:lineRule="auto"/>
              <w:ind w:firstLine="482" w:firstLineChars="200"/>
              <w:rPr>
                <w:b/>
                <w:bCs/>
                <w:color w:val="auto"/>
                <w:sz w:val="24"/>
                <w:highlight w:val="none"/>
              </w:rPr>
            </w:pPr>
            <w:r>
              <w:rPr>
                <w:b/>
                <w:bCs/>
                <w:color w:val="auto"/>
                <w:sz w:val="24"/>
                <w:highlight w:val="none"/>
              </w:rPr>
              <w:t>2、大气排放标准</w:t>
            </w:r>
          </w:p>
          <w:p>
            <w:pPr>
              <w:spacing w:line="360" w:lineRule="auto"/>
              <w:ind w:firstLine="480" w:firstLineChars="200"/>
              <w:rPr>
                <w:color w:val="auto"/>
                <w:sz w:val="24"/>
                <w:highlight w:val="none"/>
              </w:rPr>
            </w:pPr>
            <w:r>
              <w:rPr>
                <w:color w:val="auto"/>
                <w:sz w:val="24"/>
                <w:highlight w:val="none"/>
              </w:rPr>
              <w:t>施工期：沥青摊铺作业无组织散发的沥青烟气、</w:t>
            </w:r>
            <w:r>
              <w:rPr>
                <w:rFonts w:hint="eastAsia"/>
                <w:color w:val="auto"/>
                <w:sz w:val="24"/>
                <w:highlight w:val="none"/>
              </w:rPr>
              <w:t>其他颗粒物、</w:t>
            </w:r>
            <w:r>
              <w:rPr>
                <w:color w:val="auto"/>
                <w:sz w:val="24"/>
                <w:highlight w:val="none"/>
              </w:rPr>
              <w:t>苯并[a]芘执行《大气污染物综合排放标准》（DB32/4041</w:t>
            </w:r>
            <w:r>
              <w:rPr>
                <w:rFonts w:hint="eastAsia"/>
                <w:color w:val="auto"/>
                <w:sz w:val="24"/>
                <w:highlight w:val="none"/>
              </w:rPr>
              <w:t>-</w:t>
            </w:r>
            <w:r>
              <w:rPr>
                <w:color w:val="auto"/>
                <w:sz w:val="24"/>
                <w:highlight w:val="none"/>
              </w:rPr>
              <w:t>2021）表</w:t>
            </w:r>
            <w:r>
              <w:rPr>
                <w:rFonts w:hint="eastAsia"/>
                <w:color w:val="auto"/>
                <w:sz w:val="24"/>
                <w:highlight w:val="none"/>
              </w:rPr>
              <w:t>3</w:t>
            </w:r>
            <w:r>
              <w:rPr>
                <w:color w:val="auto"/>
                <w:sz w:val="24"/>
                <w:highlight w:val="none"/>
              </w:rPr>
              <w:t>无组织排放监控浓度限值；</w:t>
            </w:r>
            <w:r>
              <w:rPr>
                <w:rFonts w:hint="eastAsia"/>
                <w:color w:val="auto"/>
                <w:sz w:val="24"/>
                <w:highlight w:val="none"/>
              </w:rPr>
              <w:t>施工期扬尘执行《施工场地扬尘排放标准》（DB32/4437-2022）标准。</w:t>
            </w:r>
          </w:p>
          <w:p>
            <w:pPr>
              <w:spacing w:line="360" w:lineRule="auto"/>
              <w:ind w:firstLine="480" w:firstLineChars="200"/>
              <w:rPr>
                <w:color w:val="auto"/>
                <w:sz w:val="24"/>
                <w:highlight w:val="none"/>
              </w:rPr>
            </w:pPr>
            <w:r>
              <w:rPr>
                <w:color w:val="auto"/>
                <w:sz w:val="24"/>
                <w:highlight w:val="none"/>
              </w:rPr>
              <w:t>营运期：</w:t>
            </w:r>
            <w:r>
              <w:rPr>
                <w:rFonts w:hint="eastAsia"/>
                <w:color w:val="auto"/>
                <w:sz w:val="24"/>
                <w:highlight w:val="none"/>
              </w:rPr>
              <w:t>运营期机动车尾气排放参照执行《重型柴油车污染物排放限值及测量方法 (中国第六阶段) 》 (GB17691-2018)、《轻型汽车污染物排额放限值及测量方法(中国第六阶段)》(GB18352.6-2016)中的相应要求。</w:t>
            </w:r>
          </w:p>
          <w:p>
            <w:pPr>
              <w:spacing w:line="400" w:lineRule="atLeast"/>
              <w:jc w:val="center"/>
              <w:rPr>
                <w:b/>
                <w:bCs/>
                <w:color w:val="auto"/>
                <w:szCs w:val="21"/>
                <w:highlight w:val="none"/>
              </w:rPr>
            </w:pPr>
            <w:r>
              <w:rPr>
                <w:b/>
                <w:bCs/>
                <w:color w:val="auto"/>
                <w:szCs w:val="21"/>
                <w:highlight w:val="none"/>
              </w:rPr>
              <w:t>表3-</w:t>
            </w:r>
            <w:r>
              <w:rPr>
                <w:rFonts w:hint="eastAsia"/>
                <w:b/>
                <w:bCs/>
                <w:color w:val="auto"/>
                <w:szCs w:val="21"/>
                <w:highlight w:val="none"/>
              </w:rPr>
              <w:t>12</w:t>
            </w:r>
            <w:r>
              <w:rPr>
                <w:b/>
                <w:bCs/>
                <w:color w:val="auto"/>
                <w:szCs w:val="21"/>
                <w:highlight w:val="none"/>
              </w:rPr>
              <w:t>大气排放标准限值</w:t>
            </w:r>
          </w:p>
          <w:tbl>
            <w:tblPr>
              <w:tblStyle w:val="18"/>
              <w:tblW w:w="797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6"/>
              <w:gridCol w:w="1738"/>
              <w:gridCol w:w="722"/>
              <w:gridCol w:w="1465"/>
              <w:gridCol w:w="20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trPr>
              <w:tc>
                <w:tcPr>
                  <w:tcW w:w="2026" w:type="dxa"/>
                  <w:noWrap w:val="0"/>
                  <w:vAlign w:val="center"/>
                </w:tcPr>
                <w:p>
                  <w:pPr>
                    <w:jc w:val="center"/>
                    <w:rPr>
                      <w:b/>
                      <w:bCs/>
                      <w:color w:val="auto"/>
                      <w:szCs w:val="21"/>
                      <w:highlight w:val="none"/>
                    </w:rPr>
                  </w:pPr>
                  <w:r>
                    <w:rPr>
                      <w:b/>
                      <w:bCs/>
                      <w:color w:val="auto"/>
                      <w:szCs w:val="21"/>
                      <w:highlight w:val="none"/>
                    </w:rPr>
                    <w:t>执行标准</w:t>
                  </w:r>
                </w:p>
              </w:tc>
              <w:tc>
                <w:tcPr>
                  <w:tcW w:w="1738" w:type="dxa"/>
                  <w:noWrap w:val="0"/>
                  <w:vAlign w:val="center"/>
                </w:tcPr>
                <w:p>
                  <w:pPr>
                    <w:jc w:val="center"/>
                    <w:rPr>
                      <w:b/>
                      <w:bCs/>
                      <w:color w:val="auto"/>
                      <w:szCs w:val="21"/>
                      <w:highlight w:val="none"/>
                    </w:rPr>
                  </w:pPr>
                  <w:r>
                    <w:rPr>
                      <w:b/>
                      <w:bCs/>
                      <w:color w:val="auto"/>
                      <w:szCs w:val="21"/>
                      <w:highlight w:val="none"/>
                    </w:rPr>
                    <w:t>取值表号及级别</w:t>
                  </w:r>
                </w:p>
              </w:tc>
              <w:tc>
                <w:tcPr>
                  <w:tcW w:w="2187" w:type="dxa"/>
                  <w:gridSpan w:val="2"/>
                  <w:noWrap w:val="0"/>
                  <w:vAlign w:val="center"/>
                </w:tcPr>
                <w:p>
                  <w:pPr>
                    <w:jc w:val="center"/>
                    <w:rPr>
                      <w:b/>
                      <w:bCs/>
                      <w:color w:val="auto"/>
                      <w:szCs w:val="21"/>
                      <w:highlight w:val="none"/>
                    </w:rPr>
                  </w:pPr>
                  <w:r>
                    <w:rPr>
                      <w:b/>
                      <w:bCs/>
                      <w:color w:val="auto"/>
                      <w:szCs w:val="21"/>
                      <w:highlight w:val="none"/>
                    </w:rPr>
                    <w:t>污染物指标</w:t>
                  </w:r>
                </w:p>
              </w:tc>
              <w:tc>
                <w:tcPr>
                  <w:tcW w:w="2023" w:type="dxa"/>
                  <w:noWrap w:val="0"/>
                  <w:vAlign w:val="center"/>
                </w:tcPr>
                <w:p>
                  <w:pPr>
                    <w:jc w:val="center"/>
                    <w:rPr>
                      <w:b/>
                      <w:bCs/>
                      <w:color w:val="auto"/>
                      <w:szCs w:val="21"/>
                      <w:highlight w:val="none"/>
                    </w:rPr>
                  </w:pPr>
                  <w:r>
                    <w:rPr>
                      <w:b/>
                      <w:bCs/>
                      <w:color w:val="auto"/>
                      <w:szCs w:val="21"/>
                      <w:highlight w:val="none"/>
                    </w:rPr>
                    <w:t>无组织排放监控浓度限值（mg/m</w:t>
                  </w:r>
                  <w:r>
                    <w:rPr>
                      <w:b/>
                      <w:bCs/>
                      <w:color w:val="auto"/>
                      <w:szCs w:val="21"/>
                      <w:highlight w:val="none"/>
                      <w:vertAlign w:val="superscript"/>
                    </w:rPr>
                    <w:t>3</w:t>
                  </w:r>
                  <w:r>
                    <w:rPr>
                      <w:b/>
                      <w:bCs/>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26" w:type="dxa"/>
                  <w:vMerge w:val="restart"/>
                  <w:noWrap w:val="0"/>
                  <w:vAlign w:val="center"/>
                </w:tcPr>
                <w:p>
                  <w:pPr>
                    <w:jc w:val="center"/>
                    <w:rPr>
                      <w:color w:val="auto"/>
                      <w:szCs w:val="21"/>
                      <w:highlight w:val="none"/>
                    </w:rPr>
                  </w:pPr>
                  <w:r>
                    <w:rPr>
                      <w:color w:val="auto"/>
                      <w:szCs w:val="21"/>
                      <w:highlight w:val="none"/>
                    </w:rPr>
                    <w:t>《大气污染物综合排放标准》</w:t>
                  </w:r>
                </w:p>
                <w:p>
                  <w:pPr>
                    <w:jc w:val="center"/>
                    <w:rPr>
                      <w:b/>
                      <w:bCs/>
                      <w:color w:val="auto"/>
                      <w:szCs w:val="21"/>
                      <w:highlight w:val="none"/>
                    </w:rPr>
                  </w:pPr>
                  <w:r>
                    <w:rPr>
                      <w:color w:val="auto"/>
                      <w:szCs w:val="21"/>
                      <w:highlight w:val="none"/>
                    </w:rPr>
                    <w:t>（DB32/4041</w:t>
                  </w:r>
                  <w:r>
                    <w:rPr>
                      <w:rFonts w:hint="eastAsia"/>
                      <w:color w:val="auto"/>
                      <w:szCs w:val="21"/>
                      <w:highlight w:val="none"/>
                    </w:rPr>
                    <w:t>-</w:t>
                  </w:r>
                  <w:r>
                    <w:rPr>
                      <w:color w:val="auto"/>
                      <w:szCs w:val="21"/>
                      <w:highlight w:val="none"/>
                    </w:rPr>
                    <w:t>2021）</w:t>
                  </w:r>
                </w:p>
              </w:tc>
              <w:tc>
                <w:tcPr>
                  <w:tcW w:w="1738" w:type="dxa"/>
                  <w:vMerge w:val="restart"/>
                  <w:noWrap w:val="0"/>
                  <w:vAlign w:val="center"/>
                </w:tcPr>
                <w:p>
                  <w:pPr>
                    <w:jc w:val="center"/>
                    <w:rPr>
                      <w:b/>
                      <w:bCs/>
                      <w:color w:val="auto"/>
                      <w:szCs w:val="21"/>
                      <w:highlight w:val="none"/>
                    </w:rPr>
                  </w:pPr>
                  <w:r>
                    <w:rPr>
                      <w:color w:val="auto"/>
                      <w:szCs w:val="21"/>
                      <w:highlight w:val="none"/>
                    </w:rPr>
                    <w:t>表</w:t>
                  </w:r>
                  <w:r>
                    <w:rPr>
                      <w:rFonts w:hint="eastAsia"/>
                      <w:color w:val="auto"/>
                      <w:szCs w:val="21"/>
                      <w:highlight w:val="none"/>
                    </w:rPr>
                    <w:t>3单位边界大气污染物排放监控浓度限值</w:t>
                  </w:r>
                </w:p>
              </w:tc>
              <w:tc>
                <w:tcPr>
                  <w:tcW w:w="722" w:type="dxa"/>
                  <w:vMerge w:val="restart"/>
                  <w:noWrap w:val="0"/>
                  <w:vAlign w:val="center"/>
                </w:tcPr>
                <w:p>
                  <w:pPr>
                    <w:jc w:val="center"/>
                    <w:rPr>
                      <w:b/>
                      <w:bCs/>
                      <w:color w:val="auto"/>
                      <w:szCs w:val="21"/>
                      <w:highlight w:val="none"/>
                    </w:rPr>
                  </w:pPr>
                  <w:r>
                    <w:rPr>
                      <w:color w:val="auto"/>
                      <w:szCs w:val="21"/>
                      <w:highlight w:val="none"/>
                    </w:rPr>
                    <w:t>颗粒物</w:t>
                  </w:r>
                </w:p>
              </w:tc>
              <w:tc>
                <w:tcPr>
                  <w:tcW w:w="1465" w:type="dxa"/>
                  <w:noWrap w:val="0"/>
                  <w:vAlign w:val="center"/>
                </w:tcPr>
                <w:p>
                  <w:pPr>
                    <w:jc w:val="center"/>
                    <w:rPr>
                      <w:color w:val="auto"/>
                      <w:szCs w:val="21"/>
                      <w:highlight w:val="none"/>
                    </w:rPr>
                  </w:pPr>
                  <w:r>
                    <w:rPr>
                      <w:rFonts w:hint="eastAsia"/>
                      <w:color w:val="auto"/>
                      <w:szCs w:val="21"/>
                      <w:highlight w:val="none"/>
                    </w:rPr>
                    <w:t>石棉纤维及粉尘、沥青烟</w:t>
                  </w:r>
                </w:p>
              </w:tc>
              <w:tc>
                <w:tcPr>
                  <w:tcW w:w="2023" w:type="dxa"/>
                  <w:noWrap w:val="0"/>
                  <w:vAlign w:val="center"/>
                </w:tcPr>
                <w:p>
                  <w:pPr>
                    <w:jc w:val="center"/>
                    <w:rPr>
                      <w:b/>
                      <w:bCs/>
                      <w:color w:val="auto"/>
                      <w:szCs w:val="21"/>
                      <w:highlight w:val="none"/>
                    </w:rPr>
                  </w:pPr>
                  <w:r>
                    <w:rPr>
                      <w:color w:val="auto"/>
                      <w:szCs w:val="21"/>
                      <w:highlight w:val="none"/>
                    </w:rPr>
                    <w:t>生产装置不得有明显的无组织排放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26" w:type="dxa"/>
                  <w:vMerge w:val="continue"/>
                  <w:noWrap w:val="0"/>
                  <w:vAlign w:val="center"/>
                </w:tcPr>
                <w:p>
                  <w:pPr>
                    <w:widowControl/>
                    <w:jc w:val="left"/>
                    <w:rPr>
                      <w:b/>
                      <w:bCs/>
                      <w:color w:val="auto"/>
                      <w:szCs w:val="21"/>
                      <w:highlight w:val="none"/>
                    </w:rPr>
                  </w:pPr>
                </w:p>
              </w:tc>
              <w:tc>
                <w:tcPr>
                  <w:tcW w:w="1738" w:type="dxa"/>
                  <w:vMerge w:val="continue"/>
                  <w:noWrap w:val="0"/>
                  <w:vAlign w:val="center"/>
                </w:tcPr>
                <w:p>
                  <w:pPr>
                    <w:widowControl/>
                    <w:jc w:val="left"/>
                    <w:rPr>
                      <w:b/>
                      <w:bCs/>
                      <w:color w:val="auto"/>
                      <w:szCs w:val="21"/>
                      <w:highlight w:val="none"/>
                    </w:rPr>
                  </w:pPr>
                </w:p>
              </w:tc>
              <w:tc>
                <w:tcPr>
                  <w:tcW w:w="722" w:type="dxa"/>
                  <w:vMerge w:val="continue"/>
                  <w:noWrap w:val="0"/>
                  <w:vAlign w:val="center"/>
                </w:tcPr>
                <w:p>
                  <w:pPr>
                    <w:jc w:val="center"/>
                    <w:rPr>
                      <w:color w:val="auto"/>
                      <w:szCs w:val="21"/>
                      <w:highlight w:val="none"/>
                    </w:rPr>
                  </w:pPr>
                </w:p>
              </w:tc>
              <w:tc>
                <w:tcPr>
                  <w:tcW w:w="1465" w:type="dxa"/>
                  <w:noWrap w:val="0"/>
                  <w:vAlign w:val="center"/>
                </w:tcPr>
                <w:p>
                  <w:pPr>
                    <w:jc w:val="center"/>
                    <w:rPr>
                      <w:color w:val="auto"/>
                      <w:szCs w:val="21"/>
                      <w:highlight w:val="none"/>
                    </w:rPr>
                  </w:pPr>
                  <w:r>
                    <w:rPr>
                      <w:rFonts w:hint="eastAsia"/>
                      <w:color w:val="auto"/>
                      <w:szCs w:val="21"/>
                      <w:highlight w:val="none"/>
                    </w:rPr>
                    <w:t>其他颗粒物</w:t>
                  </w:r>
                </w:p>
              </w:tc>
              <w:tc>
                <w:tcPr>
                  <w:tcW w:w="2023" w:type="dxa"/>
                  <w:noWrap w:val="0"/>
                  <w:vAlign w:val="center"/>
                </w:tcPr>
                <w:p>
                  <w:pPr>
                    <w:jc w:val="center"/>
                    <w:rPr>
                      <w:color w:val="auto"/>
                      <w:szCs w:val="21"/>
                      <w:highlight w:val="none"/>
                    </w:rPr>
                  </w:pPr>
                  <w:r>
                    <w:rPr>
                      <w:rFonts w:hint="eastAsia"/>
                      <w:color w:val="auto"/>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26" w:type="dxa"/>
                  <w:vMerge w:val="continue"/>
                  <w:noWrap w:val="0"/>
                  <w:vAlign w:val="center"/>
                </w:tcPr>
                <w:p>
                  <w:pPr>
                    <w:widowControl/>
                    <w:jc w:val="left"/>
                    <w:rPr>
                      <w:b/>
                      <w:bCs/>
                      <w:color w:val="auto"/>
                      <w:szCs w:val="21"/>
                      <w:highlight w:val="none"/>
                    </w:rPr>
                  </w:pPr>
                </w:p>
              </w:tc>
              <w:tc>
                <w:tcPr>
                  <w:tcW w:w="1738" w:type="dxa"/>
                  <w:vMerge w:val="continue"/>
                  <w:noWrap w:val="0"/>
                  <w:vAlign w:val="center"/>
                </w:tcPr>
                <w:p>
                  <w:pPr>
                    <w:widowControl/>
                    <w:jc w:val="left"/>
                    <w:rPr>
                      <w:b/>
                      <w:bCs/>
                      <w:color w:val="auto"/>
                      <w:szCs w:val="21"/>
                      <w:highlight w:val="none"/>
                    </w:rPr>
                  </w:pPr>
                </w:p>
              </w:tc>
              <w:tc>
                <w:tcPr>
                  <w:tcW w:w="2187" w:type="dxa"/>
                  <w:gridSpan w:val="2"/>
                  <w:noWrap w:val="0"/>
                  <w:vAlign w:val="center"/>
                </w:tcPr>
                <w:p>
                  <w:pPr>
                    <w:jc w:val="center"/>
                    <w:rPr>
                      <w:b/>
                      <w:bCs/>
                      <w:color w:val="auto"/>
                      <w:szCs w:val="21"/>
                      <w:highlight w:val="none"/>
                    </w:rPr>
                  </w:pPr>
                  <w:r>
                    <w:rPr>
                      <w:color w:val="auto"/>
                      <w:szCs w:val="21"/>
                      <w:highlight w:val="none"/>
                    </w:rPr>
                    <w:t>苯并[a]芘</w:t>
                  </w:r>
                </w:p>
              </w:tc>
              <w:tc>
                <w:tcPr>
                  <w:tcW w:w="2023" w:type="dxa"/>
                  <w:noWrap w:val="0"/>
                  <w:vAlign w:val="center"/>
                </w:tcPr>
                <w:p>
                  <w:pPr>
                    <w:jc w:val="center"/>
                    <w:rPr>
                      <w:b/>
                      <w:bCs/>
                      <w:color w:val="auto"/>
                      <w:szCs w:val="21"/>
                      <w:highlight w:val="none"/>
                    </w:rPr>
                  </w:pPr>
                  <w:r>
                    <w:rPr>
                      <w:rFonts w:hint="eastAsia"/>
                      <w:color w:val="auto"/>
                      <w:szCs w:val="21"/>
                      <w:highlight w:val="none"/>
                    </w:rPr>
                    <w:t>0.000008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26" w:type="dxa"/>
                  <w:vMerge w:val="continue"/>
                  <w:noWrap w:val="0"/>
                  <w:vAlign w:val="center"/>
                </w:tcPr>
                <w:p>
                  <w:pPr>
                    <w:widowControl/>
                    <w:jc w:val="left"/>
                    <w:rPr>
                      <w:b/>
                      <w:bCs/>
                      <w:color w:val="auto"/>
                      <w:szCs w:val="21"/>
                      <w:highlight w:val="none"/>
                    </w:rPr>
                  </w:pPr>
                </w:p>
              </w:tc>
              <w:tc>
                <w:tcPr>
                  <w:tcW w:w="1738" w:type="dxa"/>
                  <w:vMerge w:val="continue"/>
                  <w:noWrap w:val="0"/>
                  <w:vAlign w:val="center"/>
                </w:tcPr>
                <w:p>
                  <w:pPr>
                    <w:widowControl/>
                    <w:jc w:val="left"/>
                    <w:rPr>
                      <w:b/>
                      <w:bCs/>
                      <w:color w:val="auto"/>
                      <w:szCs w:val="21"/>
                      <w:highlight w:val="none"/>
                    </w:rPr>
                  </w:pPr>
                </w:p>
              </w:tc>
              <w:tc>
                <w:tcPr>
                  <w:tcW w:w="2187" w:type="dxa"/>
                  <w:gridSpan w:val="2"/>
                  <w:noWrap w:val="0"/>
                  <w:vAlign w:val="center"/>
                </w:tcPr>
                <w:p>
                  <w:pPr>
                    <w:jc w:val="center"/>
                    <w:rPr>
                      <w:b/>
                      <w:bCs/>
                      <w:color w:val="auto"/>
                      <w:szCs w:val="21"/>
                      <w:highlight w:val="none"/>
                    </w:rPr>
                  </w:pPr>
                  <w:r>
                    <w:rPr>
                      <w:color w:val="auto"/>
                      <w:szCs w:val="21"/>
                      <w:highlight w:val="none"/>
                    </w:rPr>
                    <w:t>NOx</w:t>
                  </w:r>
                </w:p>
              </w:tc>
              <w:tc>
                <w:tcPr>
                  <w:tcW w:w="2023" w:type="dxa"/>
                  <w:noWrap w:val="0"/>
                  <w:vAlign w:val="center"/>
                </w:tcPr>
                <w:p>
                  <w:pPr>
                    <w:jc w:val="center"/>
                    <w:rPr>
                      <w:b/>
                      <w:bCs/>
                      <w:color w:val="auto"/>
                      <w:szCs w:val="21"/>
                      <w:highlight w:val="none"/>
                    </w:rPr>
                  </w:pPr>
                  <w:r>
                    <w:rPr>
                      <w:rFonts w:hint="eastAsia"/>
                      <w:color w:val="auto"/>
                      <w:szCs w:val="21"/>
                      <w:highlight w:val="none"/>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26" w:type="dxa"/>
                  <w:vMerge w:val="continue"/>
                  <w:noWrap w:val="0"/>
                  <w:vAlign w:val="center"/>
                </w:tcPr>
                <w:p>
                  <w:pPr>
                    <w:jc w:val="center"/>
                    <w:rPr>
                      <w:b/>
                      <w:bCs/>
                      <w:color w:val="auto"/>
                      <w:szCs w:val="21"/>
                      <w:highlight w:val="none"/>
                    </w:rPr>
                  </w:pPr>
                </w:p>
              </w:tc>
              <w:tc>
                <w:tcPr>
                  <w:tcW w:w="1738" w:type="dxa"/>
                  <w:vMerge w:val="continue"/>
                  <w:noWrap w:val="0"/>
                  <w:vAlign w:val="center"/>
                </w:tcPr>
                <w:p>
                  <w:pPr>
                    <w:jc w:val="center"/>
                    <w:rPr>
                      <w:b/>
                      <w:bCs/>
                      <w:color w:val="auto"/>
                      <w:szCs w:val="21"/>
                      <w:highlight w:val="none"/>
                    </w:rPr>
                  </w:pPr>
                </w:p>
              </w:tc>
              <w:tc>
                <w:tcPr>
                  <w:tcW w:w="2187" w:type="dxa"/>
                  <w:gridSpan w:val="2"/>
                  <w:noWrap w:val="0"/>
                  <w:vAlign w:val="center"/>
                </w:tcPr>
                <w:p>
                  <w:pPr>
                    <w:jc w:val="center"/>
                    <w:rPr>
                      <w:b/>
                      <w:bCs/>
                      <w:color w:val="auto"/>
                      <w:szCs w:val="21"/>
                      <w:highlight w:val="none"/>
                    </w:rPr>
                  </w:pPr>
                  <w:r>
                    <w:rPr>
                      <w:color w:val="auto"/>
                      <w:szCs w:val="21"/>
                      <w:highlight w:val="none"/>
                    </w:rPr>
                    <w:t>CO</w:t>
                  </w:r>
                </w:p>
              </w:tc>
              <w:tc>
                <w:tcPr>
                  <w:tcW w:w="2023" w:type="dxa"/>
                  <w:noWrap w:val="0"/>
                  <w:vAlign w:val="center"/>
                </w:tcPr>
                <w:p>
                  <w:pPr>
                    <w:jc w:val="center"/>
                    <w:rPr>
                      <w:b/>
                      <w:bCs/>
                      <w:color w:val="auto"/>
                      <w:szCs w:val="21"/>
                      <w:highlight w:val="none"/>
                    </w:rPr>
                  </w:pPr>
                  <w:r>
                    <w:rPr>
                      <w:rFonts w:hint="eastAsia"/>
                      <w:color w:val="auto"/>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26" w:type="dxa"/>
                  <w:vMerge w:val="restart"/>
                  <w:noWrap w:val="0"/>
                  <w:vAlign w:val="center"/>
                </w:tcPr>
                <w:p>
                  <w:pPr>
                    <w:spacing w:line="320" w:lineRule="exact"/>
                    <w:jc w:val="center"/>
                    <w:rPr>
                      <w:b/>
                      <w:bCs/>
                      <w:color w:val="auto"/>
                      <w:szCs w:val="21"/>
                      <w:highlight w:val="none"/>
                    </w:rPr>
                  </w:pPr>
                  <w:r>
                    <w:rPr>
                      <w:rFonts w:hint="eastAsia"/>
                      <w:color w:val="auto"/>
                      <w:szCs w:val="21"/>
                      <w:highlight w:val="none"/>
                    </w:rPr>
                    <w:t>《施工场地扬尘排放标准》（DB32/4437-2022）</w:t>
                  </w:r>
                </w:p>
              </w:tc>
              <w:tc>
                <w:tcPr>
                  <w:tcW w:w="1738" w:type="dxa"/>
                  <w:vMerge w:val="restart"/>
                  <w:noWrap w:val="0"/>
                  <w:vAlign w:val="center"/>
                </w:tcPr>
                <w:p>
                  <w:pPr>
                    <w:spacing w:line="320" w:lineRule="exact"/>
                    <w:jc w:val="center"/>
                    <w:rPr>
                      <w:b/>
                      <w:bCs/>
                      <w:color w:val="auto"/>
                      <w:szCs w:val="21"/>
                      <w:highlight w:val="none"/>
                    </w:rPr>
                  </w:pPr>
                  <w:r>
                    <w:rPr>
                      <w:rFonts w:hint="eastAsia"/>
                      <w:color w:val="auto"/>
                      <w:szCs w:val="21"/>
                      <w:highlight w:val="none"/>
                    </w:rPr>
                    <w:t>表1施工场地扬尘排放浓度限值</w:t>
                  </w:r>
                </w:p>
              </w:tc>
              <w:tc>
                <w:tcPr>
                  <w:tcW w:w="2187" w:type="dxa"/>
                  <w:gridSpan w:val="2"/>
                  <w:noWrap w:val="0"/>
                  <w:vAlign w:val="center"/>
                </w:tcPr>
                <w:p>
                  <w:pPr>
                    <w:spacing w:line="320" w:lineRule="exact"/>
                    <w:jc w:val="center"/>
                    <w:rPr>
                      <w:color w:val="auto"/>
                      <w:szCs w:val="21"/>
                      <w:highlight w:val="none"/>
                    </w:rPr>
                  </w:pPr>
                  <w:r>
                    <w:rPr>
                      <w:color w:val="auto"/>
                      <w:szCs w:val="21"/>
                      <w:highlight w:val="none"/>
                    </w:rPr>
                    <w:t>TSP</w:t>
                  </w:r>
                </w:p>
              </w:tc>
              <w:tc>
                <w:tcPr>
                  <w:tcW w:w="2023" w:type="dxa"/>
                  <w:noWrap w:val="0"/>
                  <w:vAlign w:val="center"/>
                </w:tcPr>
                <w:p>
                  <w:pPr>
                    <w:spacing w:line="320" w:lineRule="exact"/>
                    <w:jc w:val="center"/>
                    <w:rPr>
                      <w:color w:val="auto"/>
                      <w:szCs w:val="21"/>
                      <w:highlight w:val="none"/>
                    </w:rPr>
                  </w:pPr>
                  <w:r>
                    <w:rPr>
                      <w:color w:val="auto"/>
                      <w:szCs w:val="21"/>
                      <w:highlight w:val="none"/>
                    </w:rPr>
                    <w:t>500(μg/m</w:t>
                  </w:r>
                  <w:r>
                    <w:rPr>
                      <w:color w:val="auto"/>
                      <w:szCs w:val="21"/>
                      <w:highlight w:val="none"/>
                      <w:vertAlign w:val="superscript"/>
                    </w:rPr>
                    <w:t>3</w:t>
                  </w:r>
                  <w:r>
                    <w:rPr>
                      <w:color w:val="auto"/>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026" w:type="dxa"/>
                  <w:vMerge w:val="continue"/>
                  <w:noWrap w:val="0"/>
                  <w:vAlign w:val="center"/>
                </w:tcPr>
                <w:p>
                  <w:pPr>
                    <w:jc w:val="center"/>
                    <w:rPr>
                      <w:b/>
                      <w:bCs/>
                      <w:color w:val="auto"/>
                      <w:szCs w:val="21"/>
                      <w:highlight w:val="none"/>
                    </w:rPr>
                  </w:pPr>
                </w:p>
              </w:tc>
              <w:tc>
                <w:tcPr>
                  <w:tcW w:w="1738" w:type="dxa"/>
                  <w:vMerge w:val="continue"/>
                  <w:noWrap w:val="0"/>
                  <w:vAlign w:val="center"/>
                </w:tcPr>
                <w:p>
                  <w:pPr>
                    <w:jc w:val="center"/>
                    <w:rPr>
                      <w:b/>
                      <w:bCs/>
                      <w:color w:val="auto"/>
                      <w:szCs w:val="21"/>
                      <w:highlight w:val="none"/>
                    </w:rPr>
                  </w:pPr>
                </w:p>
              </w:tc>
              <w:tc>
                <w:tcPr>
                  <w:tcW w:w="2187" w:type="dxa"/>
                  <w:gridSpan w:val="2"/>
                  <w:noWrap w:val="0"/>
                  <w:vAlign w:val="center"/>
                </w:tcPr>
                <w:p>
                  <w:pPr>
                    <w:spacing w:line="320" w:lineRule="exact"/>
                    <w:jc w:val="center"/>
                    <w:rPr>
                      <w:color w:val="auto"/>
                      <w:szCs w:val="21"/>
                      <w:highlight w:val="none"/>
                    </w:rPr>
                  </w:pPr>
                  <w:r>
                    <w:rPr>
                      <w:color w:val="auto"/>
                      <w:szCs w:val="21"/>
                      <w:highlight w:val="none"/>
                    </w:rPr>
                    <w:t>PM</w:t>
                  </w:r>
                  <w:r>
                    <w:rPr>
                      <w:color w:val="auto"/>
                      <w:szCs w:val="21"/>
                      <w:highlight w:val="none"/>
                      <w:vertAlign w:val="subscript"/>
                    </w:rPr>
                    <w:t>10</w:t>
                  </w:r>
                </w:p>
              </w:tc>
              <w:tc>
                <w:tcPr>
                  <w:tcW w:w="2023" w:type="dxa"/>
                  <w:noWrap w:val="0"/>
                  <w:vAlign w:val="center"/>
                </w:tcPr>
                <w:p>
                  <w:pPr>
                    <w:spacing w:line="320" w:lineRule="exact"/>
                    <w:jc w:val="center"/>
                    <w:rPr>
                      <w:color w:val="auto"/>
                      <w:szCs w:val="21"/>
                      <w:highlight w:val="none"/>
                    </w:rPr>
                  </w:pPr>
                  <w:r>
                    <w:rPr>
                      <w:color w:val="auto"/>
                      <w:szCs w:val="21"/>
                      <w:highlight w:val="none"/>
                    </w:rPr>
                    <w:t>80(μg/m</w:t>
                  </w:r>
                  <w:r>
                    <w:rPr>
                      <w:color w:val="auto"/>
                      <w:szCs w:val="21"/>
                      <w:highlight w:val="none"/>
                      <w:vertAlign w:val="superscript"/>
                    </w:rPr>
                    <w:t>3</w:t>
                  </w:r>
                  <w:r>
                    <w:rPr>
                      <w:color w:val="auto"/>
                      <w:szCs w:val="21"/>
                      <w:highlight w:val="none"/>
                    </w:rPr>
                    <w:t>)</w:t>
                  </w:r>
                </w:p>
              </w:tc>
            </w:tr>
          </w:tbl>
          <w:p>
            <w:pPr>
              <w:spacing w:line="400" w:lineRule="atLeast"/>
              <w:ind w:firstLine="482" w:firstLineChars="200"/>
              <w:rPr>
                <w:b/>
                <w:bCs/>
                <w:color w:val="auto"/>
                <w:sz w:val="24"/>
                <w:highlight w:val="none"/>
              </w:rPr>
            </w:pPr>
            <w:r>
              <w:rPr>
                <w:b/>
                <w:bCs/>
                <w:color w:val="auto"/>
                <w:sz w:val="24"/>
                <w:highlight w:val="none"/>
              </w:rPr>
              <w:t>3、噪声排放标准</w:t>
            </w:r>
          </w:p>
          <w:p>
            <w:pPr>
              <w:spacing w:line="400" w:lineRule="atLeast"/>
              <w:ind w:firstLine="480" w:firstLineChars="200"/>
              <w:rPr>
                <w:color w:val="auto"/>
                <w:szCs w:val="21"/>
                <w:highlight w:val="none"/>
              </w:rPr>
            </w:pPr>
            <w:r>
              <w:rPr>
                <w:color w:val="auto"/>
                <w:sz w:val="24"/>
                <w:highlight w:val="none"/>
              </w:rPr>
              <w:t>项目施工期执行《建筑施工场界环境噪声排放标准》（GB12523-2011）</w:t>
            </w:r>
            <w:r>
              <w:rPr>
                <w:rFonts w:hint="eastAsia"/>
                <w:color w:val="auto"/>
                <w:sz w:val="24"/>
                <w:highlight w:val="none"/>
              </w:rPr>
              <w:t>，详见下表。</w:t>
            </w:r>
          </w:p>
          <w:p>
            <w:pPr>
              <w:pStyle w:val="23"/>
              <w:spacing w:line="400" w:lineRule="atLeast"/>
              <w:jc w:val="center"/>
              <w:rPr>
                <w:b/>
                <w:bCs/>
                <w:color w:val="auto"/>
                <w:sz w:val="21"/>
                <w:szCs w:val="21"/>
                <w:highlight w:val="none"/>
              </w:rPr>
            </w:pPr>
            <w:r>
              <w:rPr>
                <w:rFonts w:hint="eastAsia"/>
                <w:b/>
                <w:bCs/>
                <w:color w:val="auto"/>
                <w:sz w:val="21"/>
                <w:szCs w:val="21"/>
                <w:highlight w:val="none"/>
              </w:rPr>
              <w:t>表3-13本项目施工期噪声排放标准限值</w:t>
            </w:r>
          </w:p>
          <w:tbl>
            <w:tblPr>
              <w:tblStyle w:val="1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2788"/>
              <w:gridCol w:w="1395"/>
              <w:gridCol w:w="1201"/>
              <w:gridCol w:w="9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07" w:type="dxa"/>
                  <w:vMerge w:val="restart"/>
                  <w:vAlign w:val="center"/>
                </w:tcPr>
                <w:p>
                  <w:pPr>
                    <w:jc w:val="center"/>
                    <w:rPr>
                      <w:color w:val="auto"/>
                      <w:kern w:val="0"/>
                      <w:szCs w:val="21"/>
                      <w:highlight w:val="none"/>
                    </w:rPr>
                  </w:pPr>
                  <w:r>
                    <w:rPr>
                      <w:b/>
                      <w:bCs/>
                      <w:color w:val="auto"/>
                      <w:szCs w:val="21"/>
                      <w:highlight w:val="none"/>
                    </w:rPr>
                    <w:t>厂界名</w:t>
                  </w:r>
                </w:p>
              </w:tc>
              <w:tc>
                <w:tcPr>
                  <w:tcW w:w="2698" w:type="dxa"/>
                  <w:vMerge w:val="restart"/>
                  <w:vAlign w:val="center"/>
                </w:tcPr>
                <w:p>
                  <w:pPr>
                    <w:jc w:val="center"/>
                    <w:rPr>
                      <w:color w:val="auto"/>
                      <w:kern w:val="0"/>
                      <w:szCs w:val="21"/>
                      <w:highlight w:val="none"/>
                    </w:rPr>
                  </w:pPr>
                  <w:r>
                    <w:rPr>
                      <w:b/>
                      <w:bCs/>
                      <w:color w:val="auto"/>
                      <w:szCs w:val="21"/>
                      <w:highlight w:val="none"/>
                    </w:rPr>
                    <w:t>执行标准</w:t>
                  </w:r>
                </w:p>
              </w:tc>
              <w:tc>
                <w:tcPr>
                  <w:tcW w:w="1350" w:type="dxa"/>
                  <w:vMerge w:val="restart"/>
                  <w:vAlign w:val="center"/>
                </w:tcPr>
                <w:p>
                  <w:pPr>
                    <w:jc w:val="center"/>
                    <w:rPr>
                      <w:color w:val="auto"/>
                      <w:kern w:val="0"/>
                      <w:szCs w:val="21"/>
                      <w:highlight w:val="none"/>
                    </w:rPr>
                  </w:pPr>
                  <w:r>
                    <w:rPr>
                      <w:b/>
                      <w:bCs/>
                      <w:color w:val="auto"/>
                      <w:szCs w:val="21"/>
                      <w:highlight w:val="none"/>
                    </w:rPr>
                    <w:t>单位</w:t>
                  </w:r>
                </w:p>
              </w:tc>
              <w:tc>
                <w:tcPr>
                  <w:tcW w:w="2062" w:type="dxa"/>
                  <w:gridSpan w:val="2"/>
                  <w:vAlign w:val="center"/>
                </w:tcPr>
                <w:p>
                  <w:pPr>
                    <w:jc w:val="center"/>
                    <w:rPr>
                      <w:color w:val="auto"/>
                      <w:kern w:val="0"/>
                      <w:szCs w:val="21"/>
                      <w:highlight w:val="none"/>
                    </w:rPr>
                  </w:pPr>
                  <w:r>
                    <w:rPr>
                      <w:b/>
                      <w:bCs/>
                      <w:color w:val="auto"/>
                      <w:szCs w:val="21"/>
                      <w:highlight w:val="none"/>
                    </w:rPr>
                    <w:t>标准限值dB（A)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07" w:type="dxa"/>
                  <w:vMerge w:val="continue"/>
                  <w:vAlign w:val="center"/>
                </w:tcPr>
                <w:p>
                  <w:pPr>
                    <w:jc w:val="center"/>
                    <w:rPr>
                      <w:color w:val="auto"/>
                      <w:kern w:val="0"/>
                      <w:szCs w:val="21"/>
                      <w:highlight w:val="none"/>
                    </w:rPr>
                  </w:pPr>
                </w:p>
              </w:tc>
              <w:tc>
                <w:tcPr>
                  <w:tcW w:w="2698" w:type="dxa"/>
                  <w:vMerge w:val="continue"/>
                  <w:vAlign w:val="center"/>
                </w:tcPr>
                <w:p>
                  <w:pPr>
                    <w:jc w:val="center"/>
                    <w:rPr>
                      <w:color w:val="auto"/>
                      <w:kern w:val="0"/>
                      <w:szCs w:val="21"/>
                      <w:highlight w:val="none"/>
                    </w:rPr>
                  </w:pPr>
                </w:p>
              </w:tc>
              <w:tc>
                <w:tcPr>
                  <w:tcW w:w="1350" w:type="dxa"/>
                  <w:vMerge w:val="continue"/>
                  <w:vAlign w:val="center"/>
                </w:tcPr>
                <w:p>
                  <w:pPr>
                    <w:jc w:val="center"/>
                    <w:rPr>
                      <w:color w:val="auto"/>
                      <w:kern w:val="0"/>
                      <w:szCs w:val="21"/>
                      <w:highlight w:val="none"/>
                    </w:rPr>
                  </w:pPr>
                </w:p>
              </w:tc>
              <w:tc>
                <w:tcPr>
                  <w:tcW w:w="1162" w:type="dxa"/>
                  <w:vAlign w:val="center"/>
                </w:tcPr>
                <w:p>
                  <w:pPr>
                    <w:jc w:val="center"/>
                    <w:rPr>
                      <w:color w:val="auto"/>
                      <w:kern w:val="0"/>
                      <w:szCs w:val="21"/>
                      <w:highlight w:val="none"/>
                    </w:rPr>
                  </w:pPr>
                  <w:r>
                    <w:rPr>
                      <w:b/>
                      <w:bCs/>
                      <w:color w:val="auto"/>
                      <w:szCs w:val="21"/>
                      <w:highlight w:val="none"/>
                    </w:rPr>
                    <w:t>昼</w:t>
                  </w:r>
                </w:p>
              </w:tc>
              <w:tc>
                <w:tcPr>
                  <w:tcW w:w="900" w:type="dxa"/>
                  <w:vAlign w:val="center"/>
                </w:tcPr>
                <w:p>
                  <w:pPr>
                    <w:jc w:val="center"/>
                    <w:rPr>
                      <w:color w:val="auto"/>
                      <w:highlight w:val="none"/>
                    </w:rPr>
                  </w:pPr>
                  <w:r>
                    <w:rPr>
                      <w:b/>
                      <w:bCs/>
                      <w:color w:val="auto"/>
                      <w:szCs w:val="21"/>
                      <w:highlight w:val="none"/>
                    </w:rPr>
                    <w:t>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07" w:type="dxa"/>
                  <w:vAlign w:val="center"/>
                </w:tcPr>
                <w:p>
                  <w:pPr>
                    <w:jc w:val="center"/>
                    <w:rPr>
                      <w:color w:val="auto"/>
                      <w:kern w:val="0"/>
                      <w:szCs w:val="21"/>
                      <w:highlight w:val="none"/>
                    </w:rPr>
                  </w:pPr>
                  <w:r>
                    <w:rPr>
                      <w:color w:val="auto"/>
                      <w:szCs w:val="21"/>
                      <w:highlight w:val="none"/>
                    </w:rPr>
                    <w:t>施工场界</w:t>
                  </w:r>
                </w:p>
              </w:tc>
              <w:tc>
                <w:tcPr>
                  <w:tcW w:w="2698" w:type="dxa"/>
                  <w:vAlign w:val="center"/>
                </w:tcPr>
                <w:p>
                  <w:pPr>
                    <w:autoSpaceDE w:val="0"/>
                    <w:autoSpaceDN w:val="0"/>
                    <w:adjustRightInd w:val="0"/>
                    <w:jc w:val="center"/>
                    <w:rPr>
                      <w:color w:val="auto"/>
                      <w:kern w:val="0"/>
                      <w:szCs w:val="21"/>
                      <w:highlight w:val="none"/>
                    </w:rPr>
                  </w:pPr>
                  <w:r>
                    <w:rPr>
                      <w:color w:val="auto"/>
                      <w:kern w:val="0"/>
                      <w:szCs w:val="21"/>
                      <w:highlight w:val="none"/>
                    </w:rPr>
                    <w:t>《建筑施工场界环境噪声排放标准》（GB12523-2011）</w:t>
                  </w:r>
                </w:p>
              </w:tc>
              <w:tc>
                <w:tcPr>
                  <w:tcW w:w="1350" w:type="dxa"/>
                  <w:vAlign w:val="center"/>
                </w:tcPr>
                <w:p>
                  <w:pPr>
                    <w:jc w:val="center"/>
                    <w:rPr>
                      <w:color w:val="auto"/>
                      <w:kern w:val="0"/>
                      <w:szCs w:val="21"/>
                      <w:highlight w:val="none"/>
                    </w:rPr>
                  </w:pPr>
                  <w:r>
                    <w:rPr>
                      <w:color w:val="auto"/>
                      <w:kern w:val="0"/>
                      <w:szCs w:val="21"/>
                      <w:highlight w:val="none"/>
                    </w:rPr>
                    <w:t>dB(A)</w:t>
                  </w:r>
                </w:p>
              </w:tc>
              <w:tc>
                <w:tcPr>
                  <w:tcW w:w="1162" w:type="dxa"/>
                  <w:vAlign w:val="center"/>
                </w:tcPr>
                <w:p>
                  <w:pPr>
                    <w:jc w:val="center"/>
                    <w:rPr>
                      <w:color w:val="auto"/>
                      <w:kern w:val="0"/>
                      <w:szCs w:val="21"/>
                      <w:highlight w:val="none"/>
                    </w:rPr>
                  </w:pPr>
                  <w:r>
                    <w:rPr>
                      <w:color w:val="auto"/>
                      <w:szCs w:val="21"/>
                      <w:highlight w:val="none"/>
                    </w:rPr>
                    <w:t>70</w:t>
                  </w:r>
                </w:p>
              </w:tc>
              <w:tc>
                <w:tcPr>
                  <w:tcW w:w="900" w:type="dxa"/>
                  <w:vAlign w:val="center"/>
                </w:tcPr>
                <w:p>
                  <w:pPr>
                    <w:jc w:val="center"/>
                    <w:rPr>
                      <w:color w:val="auto"/>
                      <w:highlight w:val="none"/>
                    </w:rPr>
                  </w:pPr>
                  <w:r>
                    <w:rPr>
                      <w:color w:val="auto"/>
                      <w:szCs w:val="21"/>
                      <w:highlight w:val="none"/>
                    </w:rPr>
                    <w:t>55</w:t>
                  </w:r>
                </w:p>
              </w:tc>
            </w:tr>
          </w:tbl>
          <w:p>
            <w:pPr>
              <w:adjustRightInd w:val="0"/>
              <w:snapToGrid w:val="0"/>
              <w:spacing w:line="400" w:lineRule="exact"/>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2" w:hRule="atLeast"/>
          <w:jc w:val="center"/>
        </w:trPr>
        <w:tc>
          <w:tcPr>
            <w:tcW w:w="800" w:type="dxa"/>
            <w:vAlign w:val="center"/>
          </w:tcPr>
          <w:p>
            <w:pPr>
              <w:adjustRightInd w:val="0"/>
              <w:snapToGrid w:val="0"/>
              <w:jc w:val="center"/>
              <w:rPr>
                <w:color w:val="auto"/>
                <w:kern w:val="0"/>
                <w:szCs w:val="21"/>
                <w:highlight w:val="none"/>
              </w:rPr>
            </w:pPr>
            <w:r>
              <w:rPr>
                <w:rFonts w:hint="eastAsia" w:ascii="宋体" w:hAnsi="宋体" w:cs="宋体"/>
                <w:color w:val="auto"/>
                <w:kern w:val="0"/>
                <w:szCs w:val="21"/>
                <w:highlight w:val="none"/>
              </w:rPr>
              <w:t>其他</w:t>
            </w:r>
          </w:p>
        </w:tc>
        <w:tc>
          <w:tcPr>
            <w:tcW w:w="8190" w:type="dxa"/>
          </w:tcPr>
          <w:p>
            <w:pPr>
              <w:tabs>
                <w:tab w:val="left" w:pos="6930"/>
              </w:tabs>
              <w:spacing w:line="360" w:lineRule="auto"/>
              <w:ind w:firstLine="480" w:firstLineChars="200"/>
              <w:rPr>
                <w:color w:val="auto"/>
                <w:sz w:val="24"/>
                <w:highlight w:val="none"/>
              </w:rPr>
            </w:pPr>
            <w:r>
              <w:rPr>
                <w:color w:val="auto"/>
                <w:sz w:val="24"/>
                <w:highlight w:val="none"/>
              </w:rPr>
              <w:t>本项目为道路</w:t>
            </w:r>
            <w:r>
              <w:rPr>
                <w:rFonts w:hint="eastAsia"/>
                <w:color w:val="auto"/>
                <w:sz w:val="24"/>
                <w:highlight w:val="none"/>
              </w:rPr>
              <w:t>、桥梁</w:t>
            </w:r>
            <w:r>
              <w:rPr>
                <w:color w:val="auto"/>
                <w:sz w:val="24"/>
                <w:highlight w:val="none"/>
              </w:rPr>
              <w:t>建</w:t>
            </w:r>
            <w:r>
              <w:rPr>
                <w:rFonts w:hint="eastAsia"/>
                <w:color w:val="auto"/>
                <w:sz w:val="24"/>
                <w:highlight w:val="none"/>
              </w:rPr>
              <w:t>设</w:t>
            </w:r>
            <w:r>
              <w:rPr>
                <w:color w:val="auto"/>
                <w:sz w:val="24"/>
                <w:highlight w:val="none"/>
              </w:rPr>
              <w:t>工程，施工期施工</w:t>
            </w:r>
            <w:r>
              <w:rPr>
                <w:rFonts w:ascii="Times New Roman" w:hAnsi="Times New Roman" w:eastAsia="宋体" w:cs="Times New Roman"/>
                <w:color w:val="auto"/>
                <w:sz w:val="24"/>
                <w:highlight w:val="none"/>
              </w:rPr>
              <w:t>废水经</w:t>
            </w:r>
            <w:r>
              <w:rPr>
                <w:rFonts w:hint="eastAsia" w:ascii="Times New Roman" w:hAnsi="Times New Roman" w:eastAsia="宋体" w:cs="Times New Roman"/>
                <w:color w:val="auto"/>
                <w:sz w:val="24"/>
                <w:highlight w:val="none"/>
              </w:rPr>
              <w:t>除油</w:t>
            </w:r>
            <w:r>
              <w:rPr>
                <w:rFonts w:ascii="Times New Roman" w:hAnsi="Times New Roman" w:eastAsia="宋体" w:cs="Times New Roman"/>
                <w:color w:val="auto"/>
                <w:sz w:val="24"/>
                <w:highlight w:val="none"/>
              </w:rPr>
              <w:t>沉淀</w:t>
            </w:r>
            <w:r>
              <w:rPr>
                <w:color w:val="auto"/>
                <w:sz w:val="24"/>
                <w:highlight w:val="none"/>
              </w:rPr>
              <w:t>后回用于施工场地洒水降尘，，营运期沿线雨水及地面径流均收集进入城市雨水管网，没有污水排放。</w:t>
            </w:r>
          </w:p>
          <w:p>
            <w:pPr>
              <w:spacing w:line="360" w:lineRule="auto"/>
              <w:ind w:firstLine="480" w:firstLineChars="200"/>
              <w:rPr>
                <w:color w:val="auto"/>
                <w:sz w:val="24"/>
                <w:highlight w:val="none"/>
              </w:rPr>
            </w:pPr>
            <w:r>
              <w:rPr>
                <w:color w:val="auto"/>
                <w:sz w:val="24"/>
                <w:highlight w:val="none"/>
              </w:rPr>
              <w:t>施工期扬尘等废气污染排放是暂时的；营运期主要废气污染源为汽车尾气，随着科学技术的进步，汽车尾气中污染物排放浓度较低，营运期间行驶车辆的尾气排放对周围环境空气的影响比较轻微。</w:t>
            </w:r>
          </w:p>
          <w:p>
            <w:pPr>
              <w:adjustRightInd w:val="0"/>
              <w:snapToGrid w:val="0"/>
              <w:spacing w:line="360" w:lineRule="auto"/>
              <w:ind w:firstLine="480" w:firstLineChars="200"/>
              <w:rPr>
                <w:color w:val="auto"/>
                <w:sz w:val="24"/>
                <w:highlight w:val="none"/>
              </w:rPr>
            </w:pPr>
            <w:r>
              <w:rPr>
                <w:color w:val="auto"/>
                <w:sz w:val="24"/>
                <w:highlight w:val="none"/>
              </w:rPr>
              <w:t>综上所述，本项目无需申请总量。</w:t>
            </w:r>
          </w:p>
          <w:p>
            <w:pPr>
              <w:adjustRightInd w:val="0"/>
              <w:snapToGrid w:val="0"/>
              <w:spacing w:line="360" w:lineRule="auto"/>
              <w:ind w:firstLine="480" w:firstLineChars="200"/>
              <w:rPr>
                <w:color w:val="auto"/>
                <w:sz w:val="24"/>
                <w:highlight w:val="none"/>
              </w:rPr>
            </w:pPr>
          </w:p>
          <w:p>
            <w:pPr>
              <w:adjustRightInd w:val="0"/>
              <w:snapToGrid w:val="0"/>
              <w:spacing w:line="360" w:lineRule="auto"/>
              <w:ind w:firstLine="480" w:firstLineChars="200"/>
              <w:rPr>
                <w:color w:val="auto"/>
                <w:sz w:val="24"/>
                <w:highlight w:val="none"/>
              </w:rPr>
            </w:pPr>
          </w:p>
          <w:p>
            <w:pPr>
              <w:adjustRightInd w:val="0"/>
              <w:snapToGrid w:val="0"/>
              <w:spacing w:line="360" w:lineRule="auto"/>
              <w:rPr>
                <w:color w:val="auto"/>
                <w:sz w:val="24"/>
                <w:highlight w:val="none"/>
              </w:rPr>
            </w:pPr>
          </w:p>
          <w:p>
            <w:pPr>
              <w:pStyle w:val="3"/>
              <w:ind w:firstLine="480"/>
              <w:rPr>
                <w:color w:val="auto"/>
                <w:sz w:val="24"/>
                <w:highlight w:val="none"/>
              </w:rPr>
            </w:pPr>
          </w:p>
          <w:p>
            <w:pPr>
              <w:pStyle w:val="4"/>
              <w:ind w:firstLine="0" w:firstLineChars="0"/>
              <w:rPr>
                <w:color w:val="auto"/>
                <w:sz w:val="24"/>
                <w:highlight w:val="none"/>
              </w:rPr>
            </w:pPr>
          </w:p>
        </w:tc>
      </w:tr>
    </w:tbl>
    <w:p>
      <w:pPr>
        <w:pStyle w:val="15"/>
        <w:jc w:val="center"/>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bookmarkStart w:id="4" w:name="_Toc25038"/>
      <w:r>
        <w:rPr>
          <w:rFonts w:hint="eastAsia" w:ascii="黑体" w:hAnsi="黑体" w:eastAsia="黑体"/>
          <w:snapToGrid w:val="0"/>
          <w:color w:val="auto"/>
          <w:sz w:val="30"/>
          <w:szCs w:val="30"/>
          <w:highlight w:val="none"/>
        </w:rPr>
        <w:t>四、</w:t>
      </w:r>
      <w:r>
        <w:rPr>
          <w:rFonts w:ascii="Times New Roman" w:hAnsi="Times New Roman" w:eastAsia="黑体"/>
          <w:snapToGrid w:val="0"/>
          <w:color w:val="auto"/>
          <w:sz w:val="30"/>
          <w:szCs w:val="30"/>
          <w:highlight w:val="none"/>
        </w:rPr>
        <w:t>生态环境影响分析</w:t>
      </w:r>
      <w:bookmarkEnd w:id="4"/>
    </w:p>
    <w:tbl>
      <w:tblPr>
        <w:tblStyle w:val="1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5"/>
        <w:gridCol w:w="86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746" w:type="dxa"/>
            <w:tcMar>
              <w:left w:w="28" w:type="dxa"/>
              <w:right w:w="28" w:type="dxa"/>
            </w:tcMar>
            <w:vAlign w:val="center"/>
          </w:tcPr>
          <w:p>
            <w:pPr>
              <w:pStyle w:val="15"/>
              <w:adjustRightInd w:val="0"/>
              <w:snapToGrid w:val="0"/>
              <w:spacing w:before="0" w:beforeAutospacing="0" w:after="0" w:afterAutospacing="0"/>
              <w:jc w:val="center"/>
              <w:rPr>
                <w:rFonts w:cs="宋体"/>
                <w:bCs/>
                <w:color w:val="auto"/>
                <w:kern w:val="2"/>
                <w:sz w:val="21"/>
                <w:szCs w:val="21"/>
                <w:highlight w:val="none"/>
              </w:rPr>
            </w:pPr>
            <w:bookmarkStart w:id="5" w:name="_Hlk49796138"/>
            <w:r>
              <w:rPr>
                <w:rFonts w:ascii="Times New Roman" w:hAnsi="Times New Roman"/>
                <w:bCs/>
                <w:color w:val="auto"/>
                <w:spacing w:val="10"/>
                <w:kern w:val="2"/>
                <w:sz w:val="21"/>
                <w:szCs w:val="21"/>
                <w:highlight w:val="none"/>
              </w:rPr>
              <w:t>施工期生态环境影响分析</w:t>
            </w:r>
            <w:bookmarkEnd w:id="5"/>
          </w:p>
        </w:tc>
        <w:tc>
          <w:tcPr>
            <w:tcW w:w="8162" w:type="dxa"/>
            <w:vAlign w:val="center"/>
          </w:tcPr>
          <w:p>
            <w:pPr>
              <w:spacing w:line="360" w:lineRule="auto"/>
              <w:ind w:firstLine="482" w:firstLineChars="200"/>
              <w:rPr>
                <w:b/>
                <w:bCs/>
                <w:color w:val="auto"/>
                <w:sz w:val="24"/>
                <w:highlight w:val="none"/>
              </w:rPr>
            </w:pPr>
            <w:r>
              <w:rPr>
                <w:b/>
                <w:bCs/>
                <w:color w:val="auto"/>
                <w:sz w:val="24"/>
                <w:highlight w:val="none"/>
              </w:rPr>
              <w:t>1、</w:t>
            </w:r>
            <w:r>
              <w:rPr>
                <w:rFonts w:hint="eastAsia"/>
                <w:b/>
                <w:bCs/>
                <w:color w:val="auto"/>
                <w:sz w:val="24"/>
                <w:highlight w:val="none"/>
              </w:rPr>
              <w:t>大气</w:t>
            </w:r>
            <w:r>
              <w:rPr>
                <w:b/>
                <w:bCs/>
                <w:color w:val="auto"/>
                <w:sz w:val="24"/>
                <w:highlight w:val="none"/>
              </w:rPr>
              <w:t>环境影响分析</w:t>
            </w:r>
          </w:p>
          <w:p>
            <w:pPr>
              <w:wordWrap w:val="0"/>
              <w:spacing w:line="360" w:lineRule="auto"/>
              <w:ind w:firstLine="482" w:firstLineChars="200"/>
              <w:rPr>
                <w:b/>
                <w:color w:val="auto"/>
                <w:sz w:val="24"/>
                <w:highlight w:val="none"/>
              </w:rPr>
            </w:pPr>
            <w:r>
              <w:rPr>
                <w:b/>
                <w:color w:val="auto"/>
                <w:sz w:val="24"/>
                <w:highlight w:val="none"/>
              </w:rPr>
              <w:t>（1）材料运输</w:t>
            </w:r>
          </w:p>
          <w:p>
            <w:pPr>
              <w:spacing w:line="360" w:lineRule="auto"/>
              <w:ind w:firstLine="480" w:firstLineChars="200"/>
              <w:rPr>
                <w:color w:val="auto"/>
                <w:sz w:val="24"/>
                <w:highlight w:val="none"/>
              </w:rPr>
            </w:pPr>
            <w:r>
              <w:rPr>
                <w:color w:val="auto"/>
                <w:sz w:val="24"/>
                <w:highlight w:val="none"/>
              </w:rPr>
              <w:t>施工材料的运输和装卸将给沿线地区带来总悬浮颗粒物(TSP)污染。根据类似施工现场汽车运输引起的扬尘的监测结果，施工车辆在临时或未铺装的道路上引起的扬尘污染比较严重，且影响范围为狭长地带。据资料介绍，扬尘属于粒径较小的降尘(10～20μm)，在未铺装的道路表面（泥土），粒径分布小于5μm的粉尘占8%，5～10μm的占24%，大于30μm的占68%，正在施工的道路极易起尘。</w:t>
            </w:r>
          </w:p>
          <w:p>
            <w:pPr>
              <w:spacing w:line="360" w:lineRule="auto"/>
              <w:ind w:firstLine="480" w:firstLineChars="200"/>
              <w:rPr>
                <w:color w:val="auto"/>
                <w:sz w:val="24"/>
                <w:highlight w:val="none"/>
              </w:rPr>
            </w:pPr>
            <w:r>
              <w:rPr>
                <w:color w:val="auto"/>
                <w:sz w:val="24"/>
                <w:highlight w:val="none"/>
              </w:rPr>
              <w:t>根据类比资料，施工材料运输车辆在下风向50m处的落地浓度为11.625mg/m</w:t>
            </w:r>
            <w:r>
              <w:rPr>
                <w:color w:val="auto"/>
                <w:sz w:val="24"/>
                <w:highlight w:val="none"/>
                <w:vertAlign w:val="superscript"/>
              </w:rPr>
              <w:t>3</w:t>
            </w:r>
            <w:r>
              <w:rPr>
                <w:color w:val="auto"/>
                <w:sz w:val="24"/>
                <w:highlight w:val="none"/>
              </w:rPr>
              <w:t>；在下风向100m处的落地浓度为9.694mg/m</w:t>
            </w:r>
            <w:r>
              <w:rPr>
                <w:color w:val="auto"/>
                <w:sz w:val="24"/>
                <w:highlight w:val="none"/>
                <w:vertAlign w:val="superscript"/>
              </w:rPr>
              <w:t>3</w:t>
            </w:r>
            <w:r>
              <w:rPr>
                <w:color w:val="auto"/>
                <w:sz w:val="24"/>
                <w:highlight w:val="none"/>
              </w:rPr>
              <w:t>；在下风向150m处的落地浓度5.093mg/m</w:t>
            </w:r>
            <w:r>
              <w:rPr>
                <w:color w:val="auto"/>
                <w:sz w:val="24"/>
                <w:highlight w:val="none"/>
                <w:vertAlign w:val="superscript"/>
              </w:rPr>
              <w:t>3</w:t>
            </w:r>
            <w:r>
              <w:rPr>
                <w:color w:val="auto"/>
                <w:sz w:val="24"/>
                <w:highlight w:val="none"/>
              </w:rPr>
              <w:t>，超过环境空气质量二级标准。在没有洒水防尘措施情况下，将出现局部粉尘情况，因此需要采取及时洒水等措施，减缓污染影响。</w:t>
            </w:r>
          </w:p>
          <w:p>
            <w:pPr>
              <w:spacing w:line="360" w:lineRule="auto"/>
              <w:ind w:firstLine="482" w:firstLineChars="200"/>
              <w:rPr>
                <w:b/>
                <w:bCs/>
                <w:color w:val="auto"/>
                <w:sz w:val="24"/>
                <w:highlight w:val="none"/>
              </w:rPr>
            </w:pPr>
            <w:r>
              <w:rPr>
                <w:b/>
                <w:bCs/>
                <w:color w:val="auto"/>
                <w:sz w:val="24"/>
                <w:highlight w:val="none"/>
              </w:rPr>
              <w:t>（2）施工作业区扬尘</w:t>
            </w:r>
          </w:p>
          <w:p>
            <w:pPr>
              <w:spacing w:line="360" w:lineRule="auto"/>
              <w:ind w:firstLine="480" w:firstLineChars="200"/>
              <w:rPr>
                <w:color w:val="auto"/>
                <w:sz w:val="24"/>
                <w:highlight w:val="none"/>
              </w:rPr>
            </w:pPr>
            <w:r>
              <w:rPr>
                <w:color w:val="auto"/>
                <w:sz w:val="24"/>
                <w:highlight w:val="none"/>
              </w:rPr>
              <w:t>施工期起尘量的多少会随风力的大小、物料的干湿程度、作业的文明程度等因素发生较大的变化。在采取较好的防尘措施时，扬尘的影响范围基本上控制在150m以内。如果采取的防尘措施不得力，250m以内将会受到施工扬尘较大的影响，250m的浓度贡献可达1.26mg/m</w:t>
            </w:r>
            <w:r>
              <w:rPr>
                <w:color w:val="auto"/>
                <w:sz w:val="24"/>
                <w:highlight w:val="none"/>
                <w:vertAlign w:val="superscript"/>
              </w:rPr>
              <w:t>3</w:t>
            </w:r>
            <w:r>
              <w:rPr>
                <w:color w:val="auto"/>
                <w:sz w:val="24"/>
                <w:highlight w:val="none"/>
              </w:rPr>
              <w:t>，350m以外可以减少到0.69mg/m</w:t>
            </w:r>
            <w:r>
              <w:rPr>
                <w:color w:val="auto"/>
                <w:sz w:val="24"/>
                <w:highlight w:val="none"/>
                <w:vertAlign w:val="superscript"/>
              </w:rPr>
              <w:t>3</w:t>
            </w:r>
            <w:r>
              <w:rPr>
                <w:color w:val="auto"/>
                <w:sz w:val="24"/>
                <w:highlight w:val="none"/>
              </w:rPr>
              <w:t>以下，450m以外可减少到0.44mg/m</w:t>
            </w:r>
            <w:r>
              <w:rPr>
                <w:color w:val="auto"/>
                <w:sz w:val="24"/>
                <w:highlight w:val="none"/>
                <w:vertAlign w:val="superscript"/>
              </w:rPr>
              <w:t>3</w:t>
            </w:r>
            <w:r>
              <w:rPr>
                <w:color w:val="auto"/>
                <w:sz w:val="24"/>
                <w:highlight w:val="none"/>
              </w:rPr>
              <w:t>以下。如果不采取防尘措施，450m以内将会受到施工扬尘的严重影响，</w:t>
            </w:r>
            <w:r>
              <w:rPr>
                <w:rFonts w:hint="eastAsia"/>
                <w:color w:val="auto"/>
                <w:sz w:val="24"/>
                <w:highlight w:val="none"/>
              </w:rPr>
              <w:t>施工营地的加工区有钢筋加工区，当运作时，</w:t>
            </w:r>
            <w:r>
              <w:rPr>
                <w:color w:val="auto"/>
                <w:sz w:val="24"/>
                <w:highlight w:val="none"/>
              </w:rPr>
              <w:t>施工现场周围的TSP浓度将大幅度超标</w:t>
            </w:r>
            <w:r>
              <w:rPr>
                <w:rFonts w:hint="eastAsia"/>
                <w:color w:val="auto"/>
                <w:sz w:val="24"/>
                <w:highlight w:val="none"/>
              </w:rPr>
              <w:t>，堆土场产生的扬尘将一定程度影响周边环境，本项目施工过程中应采取</w:t>
            </w:r>
            <w:r>
              <w:rPr>
                <w:color w:val="auto"/>
                <w:sz w:val="24"/>
                <w:highlight w:val="none"/>
              </w:rPr>
              <w:t>覆盖</w:t>
            </w:r>
            <w:r>
              <w:rPr>
                <w:rFonts w:hint="eastAsia"/>
                <w:color w:val="auto"/>
                <w:sz w:val="24"/>
                <w:highlight w:val="none"/>
              </w:rPr>
              <w:t>、洒水、喷淋、</w:t>
            </w:r>
            <w:r>
              <w:rPr>
                <w:color w:val="auto"/>
                <w:sz w:val="24"/>
                <w:highlight w:val="none"/>
              </w:rPr>
              <w:t>围挡</w:t>
            </w:r>
            <w:r>
              <w:rPr>
                <w:rFonts w:hint="eastAsia"/>
                <w:color w:val="auto"/>
                <w:sz w:val="24"/>
                <w:highlight w:val="none"/>
              </w:rPr>
              <w:t>等措施，提高施工管理水平，降低扬尘对周围环境的影响。</w:t>
            </w:r>
          </w:p>
          <w:p>
            <w:pPr>
              <w:spacing w:line="360" w:lineRule="auto"/>
              <w:ind w:firstLine="482" w:firstLineChars="200"/>
              <w:rPr>
                <w:b/>
                <w:bCs/>
                <w:color w:val="auto"/>
                <w:sz w:val="24"/>
                <w:highlight w:val="none"/>
              </w:rPr>
            </w:pPr>
            <w:r>
              <w:rPr>
                <w:b/>
                <w:bCs/>
                <w:color w:val="auto"/>
                <w:sz w:val="24"/>
                <w:highlight w:val="none"/>
              </w:rPr>
              <w:t>（3）施工机械废气</w:t>
            </w:r>
          </w:p>
          <w:p>
            <w:pPr>
              <w:spacing w:line="360" w:lineRule="auto"/>
              <w:ind w:firstLine="480" w:firstLineChars="200"/>
              <w:rPr>
                <w:color w:val="auto"/>
                <w:sz w:val="24"/>
                <w:highlight w:val="none"/>
              </w:rPr>
            </w:pPr>
            <w:r>
              <w:rPr>
                <w:color w:val="auto"/>
                <w:sz w:val="24"/>
                <w:highlight w:val="none"/>
              </w:rPr>
              <w:t>本项目施工过程用到的施工机械主要包括</w:t>
            </w:r>
            <w:r>
              <w:rPr>
                <w:rFonts w:hint="eastAsia"/>
                <w:color w:val="auto"/>
                <w:sz w:val="24"/>
                <w:highlight w:val="none"/>
              </w:rPr>
              <w:t>挖土机</w:t>
            </w:r>
            <w:r>
              <w:rPr>
                <w:color w:val="auto"/>
                <w:sz w:val="24"/>
                <w:highlight w:val="none"/>
              </w:rPr>
              <w:t>、推土机</w:t>
            </w:r>
            <w:r>
              <w:rPr>
                <w:rFonts w:hint="eastAsia"/>
                <w:color w:val="auto"/>
                <w:sz w:val="24"/>
                <w:highlight w:val="none"/>
              </w:rPr>
              <w:t>、搅拌机</w:t>
            </w:r>
            <w:r>
              <w:rPr>
                <w:color w:val="auto"/>
                <w:sz w:val="24"/>
                <w:highlight w:val="none"/>
              </w:rPr>
              <w:t>等，以柴油为燃料，会产生一定量废气，包括CO、NOx、SO</w:t>
            </w:r>
            <w:r>
              <w:rPr>
                <w:color w:val="auto"/>
                <w:sz w:val="24"/>
                <w:highlight w:val="none"/>
                <w:vertAlign w:val="subscript"/>
              </w:rPr>
              <w:t>2</w:t>
            </w:r>
            <w:r>
              <w:rPr>
                <w:color w:val="auto"/>
                <w:sz w:val="24"/>
                <w:highlight w:val="none"/>
              </w:rPr>
              <w:t>等，但产生量不大，影响范围有限。</w:t>
            </w:r>
          </w:p>
          <w:p>
            <w:pPr>
              <w:spacing w:line="360" w:lineRule="auto"/>
              <w:ind w:firstLine="482" w:firstLineChars="200"/>
              <w:rPr>
                <w:b/>
                <w:bCs/>
                <w:color w:val="auto"/>
                <w:sz w:val="24"/>
                <w:highlight w:val="none"/>
              </w:rPr>
            </w:pPr>
            <w:r>
              <w:rPr>
                <w:b/>
                <w:bCs/>
                <w:color w:val="auto"/>
                <w:sz w:val="24"/>
                <w:highlight w:val="none"/>
              </w:rPr>
              <w:t>（4）沥青烟气</w:t>
            </w:r>
          </w:p>
          <w:p>
            <w:pPr>
              <w:spacing w:line="360" w:lineRule="auto"/>
              <w:ind w:firstLine="480" w:firstLineChars="200"/>
              <w:rPr>
                <w:color w:val="auto"/>
                <w:sz w:val="24"/>
                <w:highlight w:val="none"/>
              </w:rPr>
            </w:pPr>
            <w:r>
              <w:rPr>
                <w:color w:val="auto"/>
                <w:sz w:val="24"/>
                <w:highlight w:val="none"/>
              </w:rPr>
              <w:t>本项目不设置沥青拌合站，沥青烟气主要来自铺设过程中，产生的沥青烟气中含有THC、TSP和苯并[a]芘等有毒有害物质，对操作人员和周围居民的身体健康将造成一定的损害。在下风</w:t>
            </w:r>
            <w:r>
              <w:rPr>
                <w:rFonts w:hint="eastAsia"/>
                <w:color w:val="auto"/>
                <w:sz w:val="24"/>
                <w:highlight w:val="none"/>
              </w:rPr>
              <w:t>向</w:t>
            </w:r>
            <w:r>
              <w:rPr>
                <w:color w:val="auto"/>
                <w:sz w:val="24"/>
                <w:highlight w:val="none"/>
              </w:rPr>
              <w:t>50m外苯并[a]芘浓度低于0.00001mg/m</w:t>
            </w:r>
            <w:r>
              <w:rPr>
                <w:color w:val="auto"/>
                <w:sz w:val="24"/>
                <w:highlight w:val="none"/>
                <w:vertAlign w:val="superscript"/>
              </w:rPr>
              <w:t>3</w:t>
            </w:r>
            <w:r>
              <w:rPr>
                <w:color w:val="auto"/>
                <w:sz w:val="24"/>
                <w:highlight w:val="none"/>
              </w:rPr>
              <w:t>，酚在下风向60m左右≤0.01mg/m</w:t>
            </w:r>
            <w:r>
              <w:rPr>
                <w:color w:val="auto"/>
                <w:sz w:val="24"/>
                <w:highlight w:val="none"/>
                <w:vertAlign w:val="superscript"/>
              </w:rPr>
              <w:t>3</w:t>
            </w:r>
            <w:r>
              <w:rPr>
                <w:color w:val="auto"/>
                <w:sz w:val="24"/>
                <w:highlight w:val="none"/>
              </w:rPr>
              <w:t>，THC在下风向60m左右浓度≤0.16mg/m</w:t>
            </w:r>
            <w:r>
              <w:rPr>
                <w:color w:val="auto"/>
                <w:sz w:val="24"/>
                <w:highlight w:val="none"/>
                <w:vertAlign w:val="superscript"/>
              </w:rPr>
              <w:t>3</w:t>
            </w:r>
            <w:r>
              <w:rPr>
                <w:color w:val="auto"/>
                <w:sz w:val="24"/>
                <w:highlight w:val="none"/>
              </w:rPr>
              <w:t>。</w:t>
            </w:r>
          </w:p>
          <w:p>
            <w:pPr>
              <w:spacing w:line="360" w:lineRule="auto"/>
              <w:ind w:firstLine="482" w:firstLineChars="200"/>
              <w:rPr>
                <w:b/>
                <w:bCs/>
                <w:color w:val="auto"/>
                <w:sz w:val="24"/>
                <w:highlight w:val="none"/>
              </w:rPr>
            </w:pPr>
            <w:r>
              <w:rPr>
                <w:b/>
                <w:bCs/>
                <w:color w:val="auto"/>
                <w:sz w:val="24"/>
                <w:highlight w:val="none"/>
              </w:rPr>
              <w:t>2、水环境影响分析</w:t>
            </w:r>
          </w:p>
          <w:p>
            <w:pPr>
              <w:spacing w:line="360" w:lineRule="auto"/>
              <w:ind w:firstLine="480" w:firstLineChars="200"/>
              <w:rPr>
                <w:color w:val="auto"/>
                <w:sz w:val="24"/>
                <w:highlight w:val="none"/>
              </w:rPr>
            </w:pPr>
            <w:r>
              <w:rPr>
                <w:color w:val="auto"/>
                <w:sz w:val="24"/>
                <w:highlight w:val="none"/>
              </w:rPr>
              <w:t>施工废水主要为车辆、机械设备冲洗，施工机械跑、冒、滴、漏的污油及露天机械受雨水冲刷等将产生少量的含油污水。废水中主要污染物为COD、SS和石油类。这些废水产生量少，污染物成分简单且易于处理，经简单的隔油沉淀处理后，用于洒水降尘，严禁施工废水进入水体。采取以上措施后，施工废水对水环境影响较小。</w:t>
            </w:r>
          </w:p>
          <w:p>
            <w:pPr>
              <w:spacing w:line="360" w:lineRule="auto"/>
              <w:ind w:firstLine="480" w:firstLineChars="200"/>
              <w:rPr>
                <w:color w:val="auto"/>
                <w:sz w:val="24"/>
                <w:highlight w:val="none"/>
              </w:rPr>
            </w:pPr>
            <w:r>
              <w:rPr>
                <w:color w:val="auto"/>
                <w:sz w:val="24"/>
                <w:highlight w:val="none"/>
              </w:rPr>
              <w:t>项目施工场地内设置截水沟，截水沟布置在施工车辆临时停车场、材料堆场的下游，截留施工场地内的雨水径流和冲洗水，引入隔油池和沉淀池处理，</w:t>
            </w:r>
            <w:r>
              <w:rPr>
                <w:rFonts w:hint="eastAsia"/>
                <w:color w:val="auto"/>
                <w:sz w:val="24"/>
                <w:highlight w:val="none"/>
              </w:rPr>
              <w:t>废水回用不外排</w:t>
            </w:r>
            <w:r>
              <w:rPr>
                <w:color w:val="auto"/>
                <w:sz w:val="24"/>
                <w:highlight w:val="none"/>
              </w:rPr>
              <w:t>用于洒水降尘。材料堆场上部设置遮雨顶棚、四周设置围挡、底部采用防渗混凝土硬化处理或铺设防渗膜，防止雨水冲刷及下渗对水环境的影响。</w:t>
            </w:r>
            <w:r>
              <w:rPr>
                <w:rFonts w:hint="eastAsia"/>
                <w:color w:val="auto"/>
                <w:sz w:val="24"/>
                <w:highlight w:val="none"/>
              </w:rPr>
              <w:t>施工过程中产生的废水来源是材料、设备冲洗废水和泥浆水，主要污染物为悬浮物，经过沉淀池处理后可以达标。设计SS进水浓度为500mg/L，预计经沉淀池处理后SS浓度为50mg/L。</w:t>
            </w:r>
          </w:p>
          <w:p>
            <w:pPr>
              <w:spacing w:line="360" w:lineRule="auto"/>
              <w:ind w:firstLine="482" w:firstLineChars="200"/>
              <w:rPr>
                <w:b/>
                <w:bCs/>
                <w:color w:val="auto"/>
                <w:sz w:val="24"/>
                <w:highlight w:val="none"/>
              </w:rPr>
            </w:pPr>
            <w:r>
              <w:rPr>
                <w:b/>
                <w:bCs/>
                <w:color w:val="auto"/>
                <w:sz w:val="24"/>
                <w:highlight w:val="none"/>
              </w:rPr>
              <w:t>3、声环境影响分析</w:t>
            </w:r>
          </w:p>
          <w:p>
            <w:pPr>
              <w:adjustRightInd w:val="0"/>
              <w:snapToGrid w:val="0"/>
              <w:spacing w:line="360" w:lineRule="auto"/>
              <w:ind w:firstLine="480" w:firstLineChars="200"/>
              <w:rPr>
                <w:rFonts w:hint="eastAsia"/>
                <w:color w:val="auto"/>
                <w:sz w:val="24"/>
                <w:highlight w:val="none"/>
              </w:rPr>
            </w:pPr>
            <w:r>
              <w:rPr>
                <w:color w:val="auto"/>
                <w:sz w:val="24"/>
                <w:highlight w:val="none"/>
              </w:rPr>
              <w:t>本</w:t>
            </w:r>
            <w:r>
              <w:rPr>
                <w:rFonts w:hint="eastAsia"/>
                <w:color w:val="auto"/>
                <w:sz w:val="24"/>
                <w:highlight w:val="none"/>
              </w:rPr>
              <w:t>工程范围内属于规划道路用地，项目为道路</w:t>
            </w:r>
            <w:r>
              <w:rPr>
                <w:rFonts w:hint="eastAsia"/>
                <w:color w:val="auto"/>
                <w:sz w:val="24"/>
                <w:highlight w:val="none"/>
                <w:lang w:val="en-US" w:eastAsia="zh-CN"/>
              </w:rPr>
              <w:t>新建</w:t>
            </w:r>
            <w:r>
              <w:rPr>
                <w:rFonts w:hint="eastAsia"/>
                <w:color w:val="auto"/>
                <w:sz w:val="24"/>
                <w:highlight w:val="none"/>
              </w:rPr>
              <w:t>，现状目前主要为空地及二手车市场，道路东侧现状为</w:t>
            </w:r>
            <w:r>
              <w:rPr>
                <w:rFonts w:hint="eastAsia"/>
                <w:color w:val="auto"/>
                <w:sz w:val="24"/>
                <w:highlight w:val="none"/>
                <w:lang w:val="en-US" w:eastAsia="zh-CN"/>
              </w:rPr>
              <w:t>居住用地</w:t>
            </w:r>
            <w:r>
              <w:rPr>
                <w:rFonts w:hint="eastAsia"/>
                <w:color w:val="auto"/>
                <w:sz w:val="24"/>
                <w:highlight w:val="none"/>
              </w:rPr>
              <w:t>，项目附近的</w:t>
            </w:r>
            <w:r>
              <w:rPr>
                <w:rFonts w:hint="eastAsia"/>
                <w:color w:val="auto"/>
                <w:sz w:val="24"/>
                <w:highlight w:val="none"/>
                <w:lang w:val="en-US" w:eastAsia="zh-CN"/>
              </w:rPr>
              <w:t>敏感目标主要为项目起点东北侧约55米的昂内·天骄花园和东南侧155m处的日兴花园</w:t>
            </w:r>
            <w:r>
              <w:rPr>
                <w:rFonts w:hint="eastAsia"/>
                <w:color w:val="auto"/>
                <w:sz w:val="24"/>
                <w:highlight w:val="none"/>
              </w:rPr>
              <w:t>。</w:t>
            </w:r>
            <w:r>
              <w:rPr>
                <w:color w:val="auto"/>
                <w:sz w:val="24"/>
                <w:highlight w:val="none"/>
              </w:rPr>
              <w:t>施工机械噪声的影响对象主要是现场施工人员</w:t>
            </w:r>
            <w:r>
              <w:rPr>
                <w:rFonts w:hint="eastAsia"/>
                <w:color w:val="auto"/>
                <w:sz w:val="24"/>
                <w:highlight w:val="none"/>
                <w:lang w:eastAsia="zh-CN"/>
              </w:rPr>
              <w:t>、</w:t>
            </w:r>
            <w:r>
              <w:rPr>
                <w:rFonts w:hint="eastAsia"/>
                <w:color w:val="auto"/>
                <w:sz w:val="24"/>
                <w:highlight w:val="none"/>
              </w:rPr>
              <w:t>及周边</w:t>
            </w:r>
            <w:r>
              <w:rPr>
                <w:rFonts w:hint="eastAsia"/>
                <w:color w:val="auto"/>
                <w:sz w:val="24"/>
                <w:highlight w:val="none"/>
                <w:lang w:val="en-US" w:eastAsia="zh-CN"/>
              </w:rPr>
              <w:t>居民</w:t>
            </w:r>
            <w:r>
              <w:rPr>
                <w:rFonts w:hint="eastAsia"/>
                <w:color w:val="auto"/>
                <w:sz w:val="24"/>
                <w:highlight w:val="none"/>
              </w:rPr>
              <w:t>。</w:t>
            </w:r>
            <w:r>
              <w:rPr>
                <w:color w:val="auto"/>
                <w:sz w:val="24"/>
                <w:highlight w:val="none"/>
              </w:rPr>
              <w:t>道路建设施工阶段的主要噪声来自于施工机械</w:t>
            </w:r>
            <w:r>
              <w:rPr>
                <w:rFonts w:hint="eastAsia"/>
                <w:color w:val="auto"/>
                <w:sz w:val="24"/>
                <w:highlight w:val="none"/>
              </w:rPr>
              <w:t>、</w:t>
            </w:r>
            <w:r>
              <w:rPr>
                <w:color w:val="auto"/>
                <w:sz w:val="24"/>
                <w:highlight w:val="none"/>
              </w:rPr>
              <w:t>运输车辆辐射的噪声，这部分噪声虽然是暂时的，但项目的施工期较长，而且现在的施工过程采用的施工机械越来越多，而施工机械一般都具有高噪声、无规则等特点，如不加以控制，往往会对附近的</w:t>
            </w:r>
            <w:r>
              <w:rPr>
                <w:rFonts w:hint="eastAsia"/>
                <w:color w:val="auto"/>
                <w:sz w:val="24"/>
                <w:highlight w:val="none"/>
              </w:rPr>
              <w:t>声环境</w:t>
            </w:r>
            <w:r>
              <w:rPr>
                <w:color w:val="auto"/>
                <w:sz w:val="24"/>
                <w:highlight w:val="none"/>
              </w:rPr>
              <w:t>产生较大的噪声污染。</w:t>
            </w:r>
          </w:p>
          <w:p>
            <w:pPr>
              <w:spacing w:line="360" w:lineRule="auto"/>
              <w:ind w:firstLine="480" w:firstLineChars="200"/>
              <w:rPr>
                <w:color w:val="auto"/>
                <w:sz w:val="24"/>
                <w:highlight w:val="none"/>
              </w:rPr>
            </w:pPr>
            <w:r>
              <w:rPr>
                <w:color w:val="auto"/>
                <w:sz w:val="24"/>
                <w:highlight w:val="none"/>
              </w:rPr>
              <w:t>根据不同施工阶段的特点，假设施工机械同时作业的情景，不同施工阶段在施工场界处的噪声影响可见表4-1。</w:t>
            </w:r>
          </w:p>
          <w:p>
            <w:pPr>
              <w:pStyle w:val="3"/>
              <w:spacing w:line="400" w:lineRule="exact"/>
              <w:ind w:firstLine="422"/>
              <w:jc w:val="center"/>
              <w:rPr>
                <w:b/>
                <w:bCs/>
                <w:color w:val="auto"/>
                <w:szCs w:val="21"/>
                <w:highlight w:val="none"/>
              </w:rPr>
            </w:pPr>
            <w:r>
              <w:rPr>
                <w:b/>
                <w:bCs/>
                <w:color w:val="auto"/>
                <w:szCs w:val="21"/>
                <w:highlight w:val="none"/>
              </w:rPr>
              <w:t>表4-1不同施工阶段在施工场界处的噪声级</w:t>
            </w:r>
          </w:p>
          <w:tbl>
            <w:tblPr>
              <w:tblStyle w:val="18"/>
              <w:tblW w:w="502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8"/>
              <w:gridCol w:w="2174"/>
              <w:gridCol w:w="1168"/>
              <w:gridCol w:w="706"/>
              <w:gridCol w:w="1076"/>
              <w:gridCol w:w="708"/>
              <w:gridCol w:w="10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pPr>
                    <w:autoSpaceDN w:val="0"/>
                    <w:jc w:val="center"/>
                    <w:textAlignment w:val="baseline"/>
                    <w:rPr>
                      <w:b/>
                      <w:bCs/>
                      <w:color w:val="auto"/>
                      <w:szCs w:val="21"/>
                      <w:highlight w:val="none"/>
                    </w:rPr>
                  </w:pPr>
                  <w:r>
                    <w:rPr>
                      <w:b/>
                      <w:bCs/>
                      <w:color w:val="auto"/>
                      <w:szCs w:val="21"/>
                      <w:highlight w:val="none"/>
                    </w:rPr>
                    <w:t>施工阶段</w:t>
                  </w:r>
                </w:p>
              </w:tc>
              <w:tc>
                <w:tcPr>
                  <w:tcW w:w="1275" w:type="pct"/>
                  <w:vAlign w:val="center"/>
                </w:tcPr>
                <w:p>
                  <w:pPr>
                    <w:autoSpaceDN w:val="0"/>
                    <w:jc w:val="center"/>
                    <w:textAlignment w:val="baseline"/>
                    <w:rPr>
                      <w:b/>
                      <w:bCs/>
                      <w:color w:val="auto"/>
                      <w:szCs w:val="21"/>
                      <w:highlight w:val="none"/>
                    </w:rPr>
                  </w:pPr>
                  <w:r>
                    <w:rPr>
                      <w:b/>
                      <w:bCs/>
                      <w:color w:val="auto"/>
                      <w:szCs w:val="21"/>
                      <w:highlight w:val="none"/>
                    </w:rPr>
                    <w:t>同时作业的典型机械组合</w:t>
                  </w:r>
                </w:p>
              </w:tc>
              <w:tc>
                <w:tcPr>
                  <w:tcW w:w="685" w:type="pct"/>
                  <w:vAlign w:val="center"/>
                </w:tcPr>
                <w:p>
                  <w:pPr>
                    <w:autoSpaceDN w:val="0"/>
                    <w:jc w:val="center"/>
                    <w:textAlignment w:val="baseline"/>
                    <w:rPr>
                      <w:b/>
                      <w:bCs/>
                      <w:color w:val="auto"/>
                      <w:szCs w:val="21"/>
                      <w:highlight w:val="none"/>
                    </w:rPr>
                  </w:pPr>
                  <w:r>
                    <w:rPr>
                      <w:b/>
                      <w:bCs/>
                      <w:color w:val="auto"/>
                      <w:szCs w:val="21"/>
                      <w:highlight w:val="none"/>
                    </w:rPr>
                    <w:t>施工场界预测值</w:t>
                  </w:r>
                </w:p>
              </w:tc>
              <w:tc>
                <w:tcPr>
                  <w:tcW w:w="414" w:type="pct"/>
                  <w:vAlign w:val="center"/>
                </w:tcPr>
                <w:p>
                  <w:pPr>
                    <w:autoSpaceDN w:val="0"/>
                    <w:jc w:val="center"/>
                    <w:textAlignment w:val="baseline"/>
                    <w:rPr>
                      <w:b/>
                      <w:bCs/>
                      <w:color w:val="auto"/>
                      <w:szCs w:val="21"/>
                      <w:highlight w:val="none"/>
                    </w:rPr>
                  </w:pPr>
                  <w:r>
                    <w:rPr>
                      <w:b/>
                      <w:bCs/>
                      <w:color w:val="auto"/>
                      <w:szCs w:val="21"/>
                      <w:highlight w:val="none"/>
                    </w:rPr>
                    <w:t>昼间标准</w:t>
                  </w:r>
                </w:p>
              </w:tc>
              <w:tc>
                <w:tcPr>
                  <w:tcW w:w="631" w:type="pct"/>
                  <w:vAlign w:val="center"/>
                </w:tcPr>
                <w:p>
                  <w:pPr>
                    <w:autoSpaceDN w:val="0"/>
                    <w:jc w:val="center"/>
                    <w:textAlignment w:val="baseline"/>
                    <w:rPr>
                      <w:b/>
                      <w:bCs/>
                      <w:color w:val="auto"/>
                      <w:szCs w:val="21"/>
                      <w:highlight w:val="none"/>
                    </w:rPr>
                  </w:pPr>
                  <w:r>
                    <w:rPr>
                      <w:b/>
                      <w:bCs/>
                      <w:color w:val="auto"/>
                      <w:szCs w:val="21"/>
                      <w:highlight w:val="none"/>
                    </w:rPr>
                    <w:t>昼间达标情况</w:t>
                  </w:r>
                </w:p>
              </w:tc>
              <w:tc>
                <w:tcPr>
                  <w:tcW w:w="415" w:type="pct"/>
                  <w:vAlign w:val="center"/>
                </w:tcPr>
                <w:p>
                  <w:pPr>
                    <w:autoSpaceDN w:val="0"/>
                    <w:jc w:val="center"/>
                    <w:textAlignment w:val="baseline"/>
                    <w:rPr>
                      <w:b/>
                      <w:bCs/>
                      <w:color w:val="auto"/>
                      <w:szCs w:val="21"/>
                      <w:highlight w:val="none"/>
                    </w:rPr>
                  </w:pPr>
                  <w:r>
                    <w:rPr>
                      <w:b/>
                      <w:bCs/>
                      <w:color w:val="auto"/>
                      <w:szCs w:val="21"/>
                      <w:highlight w:val="none"/>
                    </w:rPr>
                    <w:t>夜间标准</w:t>
                  </w:r>
                </w:p>
              </w:tc>
              <w:tc>
                <w:tcPr>
                  <w:tcW w:w="634" w:type="pct"/>
                  <w:vAlign w:val="center"/>
                </w:tcPr>
                <w:p>
                  <w:pPr>
                    <w:autoSpaceDN w:val="0"/>
                    <w:jc w:val="center"/>
                    <w:textAlignment w:val="baseline"/>
                    <w:rPr>
                      <w:b/>
                      <w:bCs/>
                      <w:color w:val="auto"/>
                      <w:szCs w:val="21"/>
                      <w:highlight w:val="none"/>
                    </w:rPr>
                  </w:pPr>
                  <w:r>
                    <w:rPr>
                      <w:b/>
                      <w:bCs/>
                      <w:color w:val="auto"/>
                      <w:szCs w:val="21"/>
                      <w:highlight w:val="none"/>
                    </w:rPr>
                    <w:t>夜间达标情况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pPr>
                    <w:autoSpaceDN w:val="0"/>
                    <w:jc w:val="center"/>
                    <w:textAlignment w:val="baseline"/>
                    <w:rPr>
                      <w:color w:val="auto"/>
                      <w:szCs w:val="21"/>
                      <w:highlight w:val="none"/>
                    </w:rPr>
                  </w:pPr>
                  <w:r>
                    <w:rPr>
                      <w:color w:val="auto"/>
                      <w:szCs w:val="21"/>
                      <w:highlight w:val="none"/>
                    </w:rPr>
                    <w:t>软土路基处理</w:t>
                  </w:r>
                </w:p>
              </w:tc>
              <w:tc>
                <w:tcPr>
                  <w:tcW w:w="1275" w:type="pct"/>
                  <w:vAlign w:val="center"/>
                </w:tcPr>
                <w:p>
                  <w:pPr>
                    <w:autoSpaceDN w:val="0"/>
                    <w:jc w:val="center"/>
                    <w:textAlignment w:val="baseline"/>
                    <w:rPr>
                      <w:color w:val="auto"/>
                      <w:szCs w:val="21"/>
                      <w:highlight w:val="none"/>
                    </w:rPr>
                  </w:pPr>
                  <w:r>
                    <w:rPr>
                      <w:color w:val="auto"/>
                      <w:szCs w:val="21"/>
                      <w:highlight w:val="none"/>
                    </w:rPr>
                    <w:t>挖掘机×1，装载机×1</w:t>
                  </w:r>
                </w:p>
              </w:tc>
              <w:tc>
                <w:tcPr>
                  <w:tcW w:w="685" w:type="pct"/>
                  <w:vAlign w:val="center"/>
                </w:tcPr>
                <w:p>
                  <w:pPr>
                    <w:autoSpaceDN w:val="0"/>
                    <w:jc w:val="center"/>
                    <w:textAlignment w:val="baseline"/>
                    <w:rPr>
                      <w:color w:val="auto"/>
                      <w:szCs w:val="21"/>
                      <w:highlight w:val="none"/>
                    </w:rPr>
                  </w:pPr>
                  <w:r>
                    <w:rPr>
                      <w:color w:val="auto"/>
                      <w:szCs w:val="21"/>
                      <w:highlight w:val="none"/>
                    </w:rPr>
                    <w:t>77.0</w:t>
                  </w:r>
                </w:p>
              </w:tc>
              <w:tc>
                <w:tcPr>
                  <w:tcW w:w="414" w:type="pct"/>
                  <w:vAlign w:val="center"/>
                </w:tcPr>
                <w:p>
                  <w:pPr>
                    <w:autoSpaceDN w:val="0"/>
                    <w:jc w:val="center"/>
                    <w:textAlignment w:val="baseline"/>
                    <w:rPr>
                      <w:color w:val="auto"/>
                      <w:szCs w:val="21"/>
                      <w:highlight w:val="none"/>
                    </w:rPr>
                  </w:pPr>
                  <w:r>
                    <w:rPr>
                      <w:color w:val="auto"/>
                      <w:szCs w:val="21"/>
                      <w:highlight w:val="none"/>
                    </w:rPr>
                    <w:t>70</w:t>
                  </w:r>
                </w:p>
              </w:tc>
              <w:tc>
                <w:tcPr>
                  <w:tcW w:w="631" w:type="pct"/>
                  <w:vAlign w:val="center"/>
                </w:tcPr>
                <w:p>
                  <w:pPr>
                    <w:autoSpaceDN w:val="0"/>
                    <w:jc w:val="center"/>
                    <w:textAlignment w:val="baseline"/>
                    <w:rPr>
                      <w:color w:val="auto"/>
                      <w:szCs w:val="21"/>
                      <w:highlight w:val="none"/>
                    </w:rPr>
                  </w:pPr>
                  <w:r>
                    <w:rPr>
                      <w:color w:val="auto"/>
                      <w:szCs w:val="21"/>
                      <w:highlight w:val="none"/>
                    </w:rPr>
                    <w:t>超标7.0</w:t>
                  </w:r>
                </w:p>
              </w:tc>
              <w:tc>
                <w:tcPr>
                  <w:tcW w:w="415" w:type="pct"/>
                  <w:vAlign w:val="center"/>
                </w:tcPr>
                <w:p>
                  <w:pPr>
                    <w:autoSpaceDN w:val="0"/>
                    <w:jc w:val="center"/>
                    <w:textAlignment w:val="baseline"/>
                    <w:rPr>
                      <w:color w:val="auto"/>
                      <w:szCs w:val="21"/>
                      <w:highlight w:val="none"/>
                    </w:rPr>
                  </w:pPr>
                  <w:r>
                    <w:rPr>
                      <w:color w:val="auto"/>
                      <w:szCs w:val="21"/>
                      <w:highlight w:val="none"/>
                    </w:rPr>
                    <w:t>55</w:t>
                  </w:r>
                </w:p>
              </w:tc>
              <w:tc>
                <w:tcPr>
                  <w:tcW w:w="634" w:type="pct"/>
                  <w:vAlign w:val="center"/>
                </w:tcPr>
                <w:p>
                  <w:pPr>
                    <w:autoSpaceDN w:val="0"/>
                    <w:jc w:val="center"/>
                    <w:textAlignment w:val="baseline"/>
                    <w:rPr>
                      <w:color w:val="auto"/>
                      <w:szCs w:val="21"/>
                      <w:highlight w:val="none"/>
                    </w:rPr>
                  </w:pPr>
                  <w:r>
                    <w:rPr>
                      <w:color w:val="auto"/>
                      <w:szCs w:val="21"/>
                      <w:highlight w:val="none"/>
                    </w:rPr>
                    <w:t>超标22.0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pPr>
                    <w:autoSpaceDN w:val="0"/>
                    <w:jc w:val="center"/>
                    <w:textAlignment w:val="baseline"/>
                    <w:rPr>
                      <w:color w:val="auto"/>
                      <w:szCs w:val="21"/>
                      <w:highlight w:val="none"/>
                    </w:rPr>
                  </w:pPr>
                  <w:r>
                    <w:rPr>
                      <w:color w:val="auto"/>
                      <w:szCs w:val="21"/>
                      <w:highlight w:val="none"/>
                    </w:rPr>
                    <w:t>路基填筑</w:t>
                  </w:r>
                </w:p>
              </w:tc>
              <w:tc>
                <w:tcPr>
                  <w:tcW w:w="1275" w:type="pct"/>
                  <w:vAlign w:val="center"/>
                </w:tcPr>
                <w:p>
                  <w:pPr>
                    <w:autoSpaceDN w:val="0"/>
                    <w:jc w:val="center"/>
                    <w:textAlignment w:val="baseline"/>
                    <w:rPr>
                      <w:color w:val="auto"/>
                      <w:szCs w:val="21"/>
                      <w:highlight w:val="none"/>
                    </w:rPr>
                  </w:pPr>
                  <w:r>
                    <w:rPr>
                      <w:color w:val="auto"/>
                      <w:szCs w:val="21"/>
                      <w:highlight w:val="none"/>
                    </w:rPr>
                    <w:t>推土机×1，压路机×1</w:t>
                  </w:r>
                </w:p>
              </w:tc>
              <w:tc>
                <w:tcPr>
                  <w:tcW w:w="685" w:type="pct"/>
                  <w:vAlign w:val="center"/>
                </w:tcPr>
                <w:p>
                  <w:pPr>
                    <w:autoSpaceDN w:val="0"/>
                    <w:jc w:val="center"/>
                    <w:textAlignment w:val="baseline"/>
                    <w:rPr>
                      <w:color w:val="auto"/>
                      <w:szCs w:val="21"/>
                      <w:highlight w:val="none"/>
                    </w:rPr>
                  </w:pPr>
                  <w:r>
                    <w:rPr>
                      <w:color w:val="auto"/>
                      <w:szCs w:val="21"/>
                      <w:highlight w:val="none"/>
                    </w:rPr>
                    <w:t>75.0</w:t>
                  </w:r>
                </w:p>
              </w:tc>
              <w:tc>
                <w:tcPr>
                  <w:tcW w:w="414" w:type="pct"/>
                  <w:vAlign w:val="center"/>
                </w:tcPr>
                <w:p>
                  <w:pPr>
                    <w:autoSpaceDN w:val="0"/>
                    <w:jc w:val="center"/>
                    <w:textAlignment w:val="baseline"/>
                    <w:rPr>
                      <w:color w:val="auto"/>
                      <w:szCs w:val="21"/>
                      <w:highlight w:val="none"/>
                    </w:rPr>
                  </w:pPr>
                  <w:r>
                    <w:rPr>
                      <w:color w:val="auto"/>
                      <w:szCs w:val="21"/>
                      <w:highlight w:val="none"/>
                    </w:rPr>
                    <w:t>70</w:t>
                  </w:r>
                </w:p>
              </w:tc>
              <w:tc>
                <w:tcPr>
                  <w:tcW w:w="631" w:type="pct"/>
                  <w:vAlign w:val="center"/>
                </w:tcPr>
                <w:p>
                  <w:pPr>
                    <w:autoSpaceDN w:val="0"/>
                    <w:jc w:val="center"/>
                    <w:textAlignment w:val="baseline"/>
                    <w:rPr>
                      <w:color w:val="auto"/>
                      <w:szCs w:val="21"/>
                      <w:highlight w:val="none"/>
                    </w:rPr>
                  </w:pPr>
                  <w:r>
                    <w:rPr>
                      <w:color w:val="auto"/>
                      <w:szCs w:val="21"/>
                      <w:highlight w:val="none"/>
                    </w:rPr>
                    <w:t>超标5.0</w:t>
                  </w:r>
                </w:p>
              </w:tc>
              <w:tc>
                <w:tcPr>
                  <w:tcW w:w="415" w:type="pct"/>
                  <w:vAlign w:val="center"/>
                </w:tcPr>
                <w:p>
                  <w:pPr>
                    <w:autoSpaceDN w:val="0"/>
                    <w:jc w:val="center"/>
                    <w:textAlignment w:val="baseline"/>
                    <w:rPr>
                      <w:color w:val="auto"/>
                      <w:szCs w:val="21"/>
                      <w:highlight w:val="none"/>
                    </w:rPr>
                  </w:pPr>
                  <w:r>
                    <w:rPr>
                      <w:color w:val="auto"/>
                      <w:szCs w:val="21"/>
                      <w:highlight w:val="none"/>
                    </w:rPr>
                    <w:t>55</w:t>
                  </w:r>
                </w:p>
              </w:tc>
              <w:tc>
                <w:tcPr>
                  <w:tcW w:w="634" w:type="pct"/>
                  <w:vAlign w:val="center"/>
                </w:tcPr>
                <w:p>
                  <w:pPr>
                    <w:autoSpaceDN w:val="0"/>
                    <w:jc w:val="center"/>
                    <w:textAlignment w:val="baseline"/>
                    <w:rPr>
                      <w:color w:val="auto"/>
                      <w:szCs w:val="21"/>
                      <w:highlight w:val="none"/>
                    </w:rPr>
                  </w:pPr>
                  <w:r>
                    <w:rPr>
                      <w:color w:val="auto"/>
                      <w:szCs w:val="21"/>
                      <w:highlight w:val="none"/>
                    </w:rPr>
                    <w:t>超标20.0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pPr>
                    <w:autoSpaceDN w:val="0"/>
                    <w:jc w:val="center"/>
                    <w:textAlignment w:val="baseline"/>
                    <w:rPr>
                      <w:color w:val="auto"/>
                      <w:szCs w:val="21"/>
                      <w:highlight w:val="none"/>
                    </w:rPr>
                  </w:pPr>
                  <w:r>
                    <w:rPr>
                      <w:rFonts w:hint="eastAsia"/>
                      <w:color w:val="auto"/>
                      <w:szCs w:val="21"/>
                      <w:highlight w:val="none"/>
                    </w:rPr>
                    <w:t>桥梁桩基</w:t>
                  </w:r>
                </w:p>
              </w:tc>
              <w:tc>
                <w:tcPr>
                  <w:tcW w:w="1275" w:type="pct"/>
                  <w:vAlign w:val="center"/>
                </w:tcPr>
                <w:p>
                  <w:pPr>
                    <w:autoSpaceDN w:val="0"/>
                    <w:jc w:val="center"/>
                    <w:textAlignment w:val="baseline"/>
                    <w:rPr>
                      <w:color w:val="auto"/>
                      <w:szCs w:val="21"/>
                      <w:highlight w:val="none"/>
                    </w:rPr>
                  </w:pPr>
                  <w:r>
                    <w:rPr>
                      <w:rFonts w:hint="eastAsia"/>
                      <w:color w:val="auto"/>
                      <w:szCs w:val="21"/>
                      <w:highlight w:val="none"/>
                    </w:rPr>
                    <w:t>打桩机</w:t>
                  </w:r>
                  <w:r>
                    <w:rPr>
                      <w:color w:val="auto"/>
                      <w:szCs w:val="21"/>
                      <w:highlight w:val="none"/>
                    </w:rPr>
                    <w:t>×1</w:t>
                  </w:r>
                </w:p>
              </w:tc>
              <w:tc>
                <w:tcPr>
                  <w:tcW w:w="685" w:type="pct"/>
                  <w:vAlign w:val="center"/>
                </w:tcPr>
                <w:p>
                  <w:pPr>
                    <w:autoSpaceDN w:val="0"/>
                    <w:jc w:val="center"/>
                    <w:textAlignment w:val="baseline"/>
                    <w:rPr>
                      <w:color w:val="auto"/>
                      <w:szCs w:val="21"/>
                      <w:highlight w:val="none"/>
                    </w:rPr>
                  </w:pPr>
                  <w:r>
                    <w:rPr>
                      <w:rFonts w:hint="eastAsia"/>
                      <w:color w:val="auto"/>
                      <w:szCs w:val="21"/>
                      <w:highlight w:val="none"/>
                    </w:rPr>
                    <w:t>82.0</w:t>
                  </w:r>
                </w:p>
              </w:tc>
              <w:tc>
                <w:tcPr>
                  <w:tcW w:w="414" w:type="pct"/>
                  <w:vAlign w:val="center"/>
                </w:tcPr>
                <w:p>
                  <w:pPr>
                    <w:autoSpaceDN w:val="0"/>
                    <w:jc w:val="center"/>
                    <w:textAlignment w:val="baseline"/>
                    <w:rPr>
                      <w:color w:val="auto"/>
                      <w:szCs w:val="21"/>
                      <w:highlight w:val="none"/>
                    </w:rPr>
                  </w:pPr>
                  <w:r>
                    <w:rPr>
                      <w:color w:val="auto"/>
                      <w:szCs w:val="21"/>
                      <w:highlight w:val="none"/>
                    </w:rPr>
                    <w:t>70</w:t>
                  </w:r>
                </w:p>
              </w:tc>
              <w:tc>
                <w:tcPr>
                  <w:tcW w:w="631" w:type="pct"/>
                  <w:vAlign w:val="center"/>
                </w:tcPr>
                <w:p>
                  <w:pPr>
                    <w:autoSpaceDN w:val="0"/>
                    <w:jc w:val="center"/>
                    <w:textAlignment w:val="baseline"/>
                    <w:rPr>
                      <w:color w:val="auto"/>
                      <w:szCs w:val="21"/>
                      <w:highlight w:val="none"/>
                    </w:rPr>
                  </w:pPr>
                  <w:r>
                    <w:rPr>
                      <w:color w:val="auto"/>
                      <w:szCs w:val="21"/>
                      <w:highlight w:val="none"/>
                    </w:rPr>
                    <w:t>超标</w:t>
                  </w:r>
                  <w:r>
                    <w:rPr>
                      <w:rFonts w:hint="eastAsia"/>
                      <w:color w:val="auto"/>
                      <w:szCs w:val="21"/>
                      <w:highlight w:val="none"/>
                    </w:rPr>
                    <w:t>12.0</w:t>
                  </w:r>
                </w:p>
              </w:tc>
              <w:tc>
                <w:tcPr>
                  <w:tcW w:w="415" w:type="pct"/>
                  <w:vAlign w:val="center"/>
                </w:tcPr>
                <w:p>
                  <w:pPr>
                    <w:autoSpaceDN w:val="0"/>
                    <w:jc w:val="center"/>
                    <w:textAlignment w:val="baseline"/>
                    <w:rPr>
                      <w:color w:val="auto"/>
                      <w:szCs w:val="21"/>
                      <w:highlight w:val="none"/>
                    </w:rPr>
                  </w:pPr>
                  <w:r>
                    <w:rPr>
                      <w:color w:val="auto"/>
                      <w:szCs w:val="21"/>
                      <w:highlight w:val="none"/>
                    </w:rPr>
                    <w:t>55</w:t>
                  </w:r>
                </w:p>
              </w:tc>
              <w:tc>
                <w:tcPr>
                  <w:tcW w:w="634" w:type="pct"/>
                  <w:vAlign w:val="center"/>
                </w:tcPr>
                <w:p>
                  <w:pPr>
                    <w:autoSpaceDN w:val="0"/>
                    <w:jc w:val="center"/>
                    <w:textAlignment w:val="baseline"/>
                    <w:rPr>
                      <w:color w:val="auto"/>
                      <w:szCs w:val="21"/>
                      <w:highlight w:val="none"/>
                    </w:rPr>
                  </w:pPr>
                  <w:r>
                    <w:rPr>
                      <w:color w:val="auto"/>
                      <w:szCs w:val="21"/>
                      <w:highlight w:val="none"/>
                    </w:rPr>
                    <w:t>超标</w:t>
                  </w:r>
                  <w:r>
                    <w:rPr>
                      <w:rFonts w:hint="eastAsia"/>
                      <w:color w:val="auto"/>
                      <w:szCs w:val="21"/>
                      <w:highlight w:val="none"/>
                    </w:rPr>
                    <w:t>27.0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pPr>
                    <w:autoSpaceDN w:val="0"/>
                    <w:jc w:val="center"/>
                    <w:textAlignment w:val="baseline"/>
                    <w:rPr>
                      <w:color w:val="auto"/>
                      <w:szCs w:val="21"/>
                      <w:highlight w:val="none"/>
                    </w:rPr>
                  </w:pPr>
                  <w:r>
                    <w:rPr>
                      <w:rFonts w:hint="eastAsia"/>
                      <w:color w:val="auto"/>
                      <w:szCs w:val="21"/>
                      <w:highlight w:val="none"/>
                    </w:rPr>
                    <w:t>桥梁上部</w:t>
                  </w:r>
                </w:p>
              </w:tc>
              <w:tc>
                <w:tcPr>
                  <w:tcW w:w="1275" w:type="pct"/>
                  <w:vAlign w:val="center"/>
                </w:tcPr>
                <w:p>
                  <w:pPr>
                    <w:autoSpaceDN w:val="0"/>
                    <w:jc w:val="center"/>
                    <w:textAlignment w:val="baseline"/>
                    <w:rPr>
                      <w:color w:val="auto"/>
                      <w:szCs w:val="21"/>
                      <w:highlight w:val="none"/>
                    </w:rPr>
                  </w:pPr>
                  <w:r>
                    <w:rPr>
                      <w:rFonts w:hint="eastAsia"/>
                      <w:color w:val="auto"/>
                      <w:szCs w:val="21"/>
                      <w:highlight w:val="none"/>
                    </w:rPr>
                    <w:t>吊车</w:t>
                  </w:r>
                  <w:r>
                    <w:rPr>
                      <w:color w:val="auto"/>
                      <w:szCs w:val="21"/>
                      <w:highlight w:val="none"/>
                    </w:rPr>
                    <w:t>×1</w:t>
                  </w:r>
                </w:p>
              </w:tc>
              <w:tc>
                <w:tcPr>
                  <w:tcW w:w="685" w:type="pct"/>
                  <w:vAlign w:val="center"/>
                </w:tcPr>
                <w:p>
                  <w:pPr>
                    <w:autoSpaceDN w:val="0"/>
                    <w:jc w:val="center"/>
                    <w:textAlignment w:val="baseline"/>
                    <w:rPr>
                      <w:color w:val="auto"/>
                      <w:szCs w:val="21"/>
                      <w:highlight w:val="none"/>
                    </w:rPr>
                  </w:pPr>
                  <w:r>
                    <w:rPr>
                      <w:rFonts w:hint="eastAsia"/>
                      <w:color w:val="auto"/>
                      <w:szCs w:val="21"/>
                      <w:highlight w:val="none"/>
                    </w:rPr>
                    <w:t>63.0</w:t>
                  </w:r>
                </w:p>
              </w:tc>
              <w:tc>
                <w:tcPr>
                  <w:tcW w:w="414" w:type="pct"/>
                  <w:vAlign w:val="center"/>
                </w:tcPr>
                <w:p>
                  <w:pPr>
                    <w:autoSpaceDN w:val="0"/>
                    <w:jc w:val="center"/>
                    <w:textAlignment w:val="baseline"/>
                    <w:rPr>
                      <w:color w:val="auto"/>
                      <w:szCs w:val="21"/>
                      <w:highlight w:val="none"/>
                    </w:rPr>
                  </w:pPr>
                  <w:r>
                    <w:rPr>
                      <w:color w:val="auto"/>
                      <w:szCs w:val="21"/>
                      <w:highlight w:val="none"/>
                    </w:rPr>
                    <w:t>70</w:t>
                  </w:r>
                </w:p>
              </w:tc>
              <w:tc>
                <w:tcPr>
                  <w:tcW w:w="631" w:type="pct"/>
                  <w:vAlign w:val="center"/>
                </w:tcPr>
                <w:p>
                  <w:pPr>
                    <w:autoSpaceDN w:val="0"/>
                    <w:jc w:val="center"/>
                    <w:textAlignment w:val="baseline"/>
                    <w:rPr>
                      <w:color w:val="auto"/>
                      <w:szCs w:val="21"/>
                      <w:highlight w:val="none"/>
                    </w:rPr>
                  </w:pPr>
                  <w:r>
                    <w:rPr>
                      <w:rFonts w:hint="eastAsia"/>
                      <w:color w:val="auto"/>
                      <w:szCs w:val="21"/>
                      <w:highlight w:val="none"/>
                    </w:rPr>
                    <w:t>达</w:t>
                  </w:r>
                  <w:r>
                    <w:rPr>
                      <w:color w:val="auto"/>
                      <w:szCs w:val="21"/>
                      <w:highlight w:val="none"/>
                    </w:rPr>
                    <w:t>标</w:t>
                  </w:r>
                </w:p>
              </w:tc>
              <w:tc>
                <w:tcPr>
                  <w:tcW w:w="415" w:type="pct"/>
                  <w:vAlign w:val="center"/>
                </w:tcPr>
                <w:p>
                  <w:pPr>
                    <w:autoSpaceDN w:val="0"/>
                    <w:jc w:val="center"/>
                    <w:textAlignment w:val="baseline"/>
                    <w:rPr>
                      <w:color w:val="auto"/>
                      <w:szCs w:val="21"/>
                      <w:highlight w:val="none"/>
                    </w:rPr>
                  </w:pPr>
                  <w:r>
                    <w:rPr>
                      <w:color w:val="auto"/>
                      <w:szCs w:val="21"/>
                      <w:highlight w:val="none"/>
                    </w:rPr>
                    <w:t>55</w:t>
                  </w:r>
                </w:p>
              </w:tc>
              <w:tc>
                <w:tcPr>
                  <w:tcW w:w="634" w:type="pct"/>
                  <w:vAlign w:val="center"/>
                </w:tcPr>
                <w:p>
                  <w:pPr>
                    <w:autoSpaceDN w:val="0"/>
                    <w:jc w:val="center"/>
                    <w:textAlignment w:val="baseline"/>
                    <w:rPr>
                      <w:color w:val="auto"/>
                      <w:szCs w:val="21"/>
                      <w:highlight w:val="none"/>
                    </w:rPr>
                  </w:pPr>
                  <w:r>
                    <w:rPr>
                      <w:color w:val="auto"/>
                      <w:szCs w:val="21"/>
                      <w:highlight w:val="none"/>
                    </w:rPr>
                    <w:t>超标</w:t>
                  </w:r>
                  <w:r>
                    <w:rPr>
                      <w:rFonts w:hint="eastAsia"/>
                      <w:color w:val="auto"/>
                      <w:szCs w:val="21"/>
                      <w:highlight w:val="none"/>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pPr>
                    <w:autoSpaceDN w:val="0"/>
                    <w:jc w:val="center"/>
                    <w:textAlignment w:val="baseline"/>
                    <w:rPr>
                      <w:color w:val="auto"/>
                      <w:szCs w:val="21"/>
                      <w:highlight w:val="none"/>
                    </w:rPr>
                  </w:pPr>
                  <w:r>
                    <w:rPr>
                      <w:color w:val="auto"/>
                      <w:szCs w:val="21"/>
                      <w:highlight w:val="none"/>
                    </w:rPr>
                    <w:t>路面施工</w:t>
                  </w:r>
                </w:p>
              </w:tc>
              <w:tc>
                <w:tcPr>
                  <w:tcW w:w="1275" w:type="pct"/>
                  <w:vAlign w:val="center"/>
                </w:tcPr>
                <w:p>
                  <w:pPr>
                    <w:autoSpaceDN w:val="0"/>
                    <w:jc w:val="center"/>
                    <w:textAlignment w:val="baseline"/>
                    <w:rPr>
                      <w:color w:val="auto"/>
                      <w:szCs w:val="21"/>
                      <w:highlight w:val="none"/>
                    </w:rPr>
                  </w:pPr>
                  <w:r>
                    <w:rPr>
                      <w:color w:val="auto"/>
                      <w:szCs w:val="21"/>
                      <w:highlight w:val="none"/>
                    </w:rPr>
                    <w:t>摊铺机×1，压路机×1</w:t>
                  </w:r>
                </w:p>
              </w:tc>
              <w:tc>
                <w:tcPr>
                  <w:tcW w:w="685" w:type="pct"/>
                  <w:vAlign w:val="center"/>
                </w:tcPr>
                <w:p>
                  <w:pPr>
                    <w:autoSpaceDN w:val="0"/>
                    <w:jc w:val="center"/>
                    <w:textAlignment w:val="baseline"/>
                    <w:rPr>
                      <w:color w:val="auto"/>
                      <w:szCs w:val="21"/>
                      <w:highlight w:val="none"/>
                    </w:rPr>
                  </w:pPr>
                  <w:r>
                    <w:rPr>
                      <w:color w:val="auto"/>
                      <w:szCs w:val="21"/>
                      <w:highlight w:val="none"/>
                    </w:rPr>
                    <w:t>75.6</w:t>
                  </w:r>
                </w:p>
              </w:tc>
              <w:tc>
                <w:tcPr>
                  <w:tcW w:w="414" w:type="pct"/>
                  <w:vAlign w:val="center"/>
                </w:tcPr>
                <w:p>
                  <w:pPr>
                    <w:autoSpaceDN w:val="0"/>
                    <w:jc w:val="center"/>
                    <w:textAlignment w:val="baseline"/>
                    <w:rPr>
                      <w:color w:val="auto"/>
                      <w:szCs w:val="21"/>
                      <w:highlight w:val="none"/>
                    </w:rPr>
                  </w:pPr>
                  <w:r>
                    <w:rPr>
                      <w:color w:val="auto"/>
                      <w:szCs w:val="21"/>
                      <w:highlight w:val="none"/>
                    </w:rPr>
                    <w:t>70</w:t>
                  </w:r>
                </w:p>
              </w:tc>
              <w:tc>
                <w:tcPr>
                  <w:tcW w:w="631" w:type="pct"/>
                  <w:vAlign w:val="center"/>
                </w:tcPr>
                <w:p>
                  <w:pPr>
                    <w:autoSpaceDN w:val="0"/>
                    <w:jc w:val="center"/>
                    <w:textAlignment w:val="baseline"/>
                    <w:rPr>
                      <w:color w:val="auto"/>
                      <w:szCs w:val="21"/>
                      <w:highlight w:val="none"/>
                    </w:rPr>
                  </w:pPr>
                  <w:r>
                    <w:rPr>
                      <w:color w:val="auto"/>
                      <w:szCs w:val="21"/>
                      <w:highlight w:val="none"/>
                    </w:rPr>
                    <w:t>超标5.6</w:t>
                  </w:r>
                </w:p>
              </w:tc>
              <w:tc>
                <w:tcPr>
                  <w:tcW w:w="415" w:type="pct"/>
                  <w:vAlign w:val="center"/>
                </w:tcPr>
                <w:p>
                  <w:pPr>
                    <w:autoSpaceDN w:val="0"/>
                    <w:jc w:val="center"/>
                    <w:textAlignment w:val="baseline"/>
                    <w:rPr>
                      <w:color w:val="auto"/>
                      <w:szCs w:val="21"/>
                      <w:highlight w:val="none"/>
                    </w:rPr>
                  </w:pPr>
                  <w:r>
                    <w:rPr>
                      <w:color w:val="auto"/>
                      <w:szCs w:val="21"/>
                      <w:highlight w:val="none"/>
                    </w:rPr>
                    <w:t>55</w:t>
                  </w:r>
                </w:p>
              </w:tc>
              <w:tc>
                <w:tcPr>
                  <w:tcW w:w="634" w:type="pct"/>
                  <w:vAlign w:val="center"/>
                </w:tcPr>
                <w:p>
                  <w:pPr>
                    <w:autoSpaceDN w:val="0"/>
                    <w:jc w:val="center"/>
                    <w:textAlignment w:val="baseline"/>
                    <w:rPr>
                      <w:color w:val="auto"/>
                      <w:szCs w:val="21"/>
                      <w:highlight w:val="none"/>
                    </w:rPr>
                  </w:pPr>
                  <w:r>
                    <w:rPr>
                      <w:color w:val="auto"/>
                      <w:szCs w:val="21"/>
                      <w:highlight w:val="none"/>
                    </w:rPr>
                    <w:t>超标20.6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pPr>
                    <w:autoSpaceDN w:val="0"/>
                    <w:jc w:val="center"/>
                    <w:textAlignment w:val="baseline"/>
                    <w:rPr>
                      <w:color w:val="auto"/>
                      <w:szCs w:val="21"/>
                      <w:highlight w:val="none"/>
                    </w:rPr>
                  </w:pPr>
                  <w:r>
                    <w:rPr>
                      <w:color w:val="auto"/>
                      <w:szCs w:val="21"/>
                      <w:highlight w:val="none"/>
                    </w:rPr>
                    <w:t>交通工程施工</w:t>
                  </w:r>
                </w:p>
              </w:tc>
              <w:tc>
                <w:tcPr>
                  <w:tcW w:w="1275" w:type="pct"/>
                  <w:vAlign w:val="center"/>
                </w:tcPr>
                <w:p>
                  <w:pPr>
                    <w:autoSpaceDN w:val="0"/>
                    <w:jc w:val="center"/>
                    <w:textAlignment w:val="baseline"/>
                    <w:rPr>
                      <w:color w:val="auto"/>
                      <w:szCs w:val="21"/>
                      <w:highlight w:val="none"/>
                    </w:rPr>
                  </w:pPr>
                  <w:r>
                    <w:rPr>
                      <w:color w:val="auto"/>
                      <w:szCs w:val="21"/>
                      <w:highlight w:val="none"/>
                    </w:rPr>
                    <w:t>吊车×1</w:t>
                  </w:r>
                </w:p>
              </w:tc>
              <w:tc>
                <w:tcPr>
                  <w:tcW w:w="685" w:type="pct"/>
                  <w:vAlign w:val="center"/>
                </w:tcPr>
                <w:p>
                  <w:pPr>
                    <w:autoSpaceDN w:val="0"/>
                    <w:jc w:val="center"/>
                    <w:textAlignment w:val="baseline"/>
                    <w:rPr>
                      <w:color w:val="auto"/>
                      <w:szCs w:val="21"/>
                      <w:highlight w:val="none"/>
                    </w:rPr>
                  </w:pPr>
                  <w:r>
                    <w:rPr>
                      <w:color w:val="auto"/>
                      <w:szCs w:val="21"/>
                      <w:highlight w:val="none"/>
                    </w:rPr>
                    <w:t>60.0</w:t>
                  </w:r>
                </w:p>
              </w:tc>
              <w:tc>
                <w:tcPr>
                  <w:tcW w:w="414" w:type="pct"/>
                  <w:vAlign w:val="center"/>
                </w:tcPr>
                <w:p>
                  <w:pPr>
                    <w:autoSpaceDN w:val="0"/>
                    <w:jc w:val="center"/>
                    <w:textAlignment w:val="baseline"/>
                    <w:rPr>
                      <w:color w:val="auto"/>
                      <w:szCs w:val="21"/>
                      <w:highlight w:val="none"/>
                    </w:rPr>
                  </w:pPr>
                  <w:r>
                    <w:rPr>
                      <w:color w:val="auto"/>
                      <w:szCs w:val="21"/>
                      <w:highlight w:val="none"/>
                    </w:rPr>
                    <w:t>70</w:t>
                  </w:r>
                </w:p>
              </w:tc>
              <w:tc>
                <w:tcPr>
                  <w:tcW w:w="631" w:type="pct"/>
                  <w:vAlign w:val="center"/>
                </w:tcPr>
                <w:p>
                  <w:pPr>
                    <w:autoSpaceDN w:val="0"/>
                    <w:jc w:val="center"/>
                    <w:textAlignment w:val="baseline"/>
                    <w:rPr>
                      <w:color w:val="auto"/>
                      <w:szCs w:val="21"/>
                      <w:highlight w:val="none"/>
                    </w:rPr>
                  </w:pPr>
                  <w:r>
                    <w:rPr>
                      <w:color w:val="auto"/>
                      <w:szCs w:val="21"/>
                      <w:highlight w:val="none"/>
                    </w:rPr>
                    <w:t>达标</w:t>
                  </w:r>
                </w:p>
              </w:tc>
              <w:tc>
                <w:tcPr>
                  <w:tcW w:w="415" w:type="pct"/>
                  <w:vAlign w:val="center"/>
                </w:tcPr>
                <w:p>
                  <w:pPr>
                    <w:autoSpaceDN w:val="0"/>
                    <w:jc w:val="center"/>
                    <w:textAlignment w:val="baseline"/>
                    <w:rPr>
                      <w:color w:val="auto"/>
                      <w:szCs w:val="21"/>
                      <w:highlight w:val="none"/>
                    </w:rPr>
                  </w:pPr>
                  <w:r>
                    <w:rPr>
                      <w:color w:val="auto"/>
                      <w:szCs w:val="21"/>
                      <w:highlight w:val="none"/>
                    </w:rPr>
                    <w:t>55</w:t>
                  </w:r>
                </w:p>
              </w:tc>
              <w:tc>
                <w:tcPr>
                  <w:tcW w:w="634" w:type="pct"/>
                  <w:vAlign w:val="center"/>
                </w:tcPr>
                <w:p>
                  <w:pPr>
                    <w:autoSpaceDN w:val="0"/>
                    <w:jc w:val="center"/>
                    <w:textAlignment w:val="baseline"/>
                    <w:rPr>
                      <w:color w:val="auto"/>
                      <w:szCs w:val="21"/>
                      <w:highlight w:val="none"/>
                    </w:rPr>
                  </w:pPr>
                  <w:r>
                    <w:rPr>
                      <w:color w:val="auto"/>
                      <w:szCs w:val="21"/>
                      <w:highlight w:val="none"/>
                    </w:rPr>
                    <w:t>超标5.0</w:t>
                  </w:r>
                </w:p>
              </w:tc>
            </w:tr>
          </w:tbl>
          <w:p>
            <w:pPr>
              <w:spacing w:line="360" w:lineRule="auto"/>
              <w:ind w:firstLine="480" w:firstLineChars="200"/>
              <w:rPr>
                <w:color w:val="auto"/>
                <w:sz w:val="24"/>
                <w:highlight w:val="none"/>
              </w:rPr>
            </w:pPr>
            <w:r>
              <w:rPr>
                <w:color w:val="auto"/>
                <w:sz w:val="24"/>
                <w:highlight w:val="none"/>
              </w:rPr>
              <w:t>根据预测结果，在软土路基处理施工过程中，挖掘机、装载机作业时产生的噪声影响最大，施工场界处昼间噪声级超过《建筑施工场界环境噪声排放标准》</w:t>
            </w:r>
            <w:r>
              <w:rPr>
                <w:rFonts w:hint="eastAsia"/>
                <w:color w:val="auto"/>
                <w:sz w:val="24"/>
                <w:highlight w:val="none"/>
              </w:rPr>
              <w:t>（</w:t>
            </w:r>
            <w:r>
              <w:rPr>
                <w:color w:val="auto"/>
                <w:sz w:val="24"/>
                <w:highlight w:val="none"/>
              </w:rPr>
              <w:t>GB12523-2011）昼间限值约7dB(A)</w:t>
            </w:r>
            <w:r>
              <w:rPr>
                <w:rFonts w:hint="eastAsia"/>
                <w:color w:val="auto"/>
                <w:sz w:val="24"/>
                <w:highlight w:val="none"/>
              </w:rPr>
              <w:t>；</w:t>
            </w:r>
            <w:r>
              <w:rPr>
                <w:color w:val="auto"/>
                <w:sz w:val="24"/>
                <w:highlight w:val="none"/>
              </w:rPr>
              <w:t>在交通工程施工，吊车作业的施工噪声影响相对较小，施工场界处昼间声级满足《建筑施工场界环境噪声排放标准》（GB12523-2011）昼间限值。</w:t>
            </w:r>
          </w:p>
          <w:p>
            <w:pPr>
              <w:wordWrap w:val="0"/>
              <w:spacing w:line="360" w:lineRule="auto"/>
              <w:ind w:firstLine="480" w:firstLineChars="200"/>
              <w:rPr>
                <w:color w:val="auto"/>
                <w:sz w:val="24"/>
                <w:highlight w:val="none"/>
              </w:rPr>
            </w:pPr>
            <w:r>
              <w:rPr>
                <w:color w:val="auto"/>
                <w:sz w:val="24"/>
                <w:highlight w:val="none"/>
              </w:rPr>
              <w:t>在施工场界安装围挡可以起到声屏障的作用，降低噪声影响9～12dB(A)，保障昼间施工场界环境噪声达标。本项目禁止夜间施工</w:t>
            </w:r>
            <w:r>
              <w:rPr>
                <w:rFonts w:hint="eastAsia"/>
                <w:color w:val="auto"/>
                <w:sz w:val="24"/>
                <w:highlight w:val="none"/>
              </w:rPr>
              <w:t>，以进一步减少对周边</w:t>
            </w:r>
            <w:r>
              <w:rPr>
                <w:color w:val="auto"/>
                <w:sz w:val="24"/>
                <w:highlight w:val="none"/>
              </w:rPr>
              <w:t>声环境</w:t>
            </w:r>
            <w:r>
              <w:rPr>
                <w:rFonts w:hint="eastAsia"/>
                <w:color w:val="auto"/>
                <w:sz w:val="24"/>
                <w:highlight w:val="none"/>
              </w:rPr>
              <w:t>影响</w:t>
            </w:r>
            <w:r>
              <w:rPr>
                <w:color w:val="auto"/>
                <w:sz w:val="24"/>
                <w:highlight w:val="none"/>
              </w:rPr>
              <w:t>。</w:t>
            </w:r>
          </w:p>
          <w:p>
            <w:pPr>
              <w:wordWrap w:val="0"/>
              <w:spacing w:line="360" w:lineRule="auto"/>
              <w:ind w:firstLine="482" w:firstLineChars="200"/>
              <w:rPr>
                <w:b/>
                <w:bCs/>
                <w:color w:val="auto"/>
                <w:sz w:val="24"/>
                <w:highlight w:val="none"/>
              </w:rPr>
            </w:pPr>
            <w:r>
              <w:rPr>
                <w:b/>
                <w:bCs/>
                <w:color w:val="auto"/>
                <w:sz w:val="24"/>
                <w:highlight w:val="none"/>
              </w:rPr>
              <w:t>4</w:t>
            </w:r>
            <w:r>
              <w:rPr>
                <w:rFonts w:hint="eastAsia"/>
                <w:b/>
                <w:bCs/>
                <w:color w:val="auto"/>
                <w:sz w:val="24"/>
                <w:highlight w:val="none"/>
              </w:rPr>
              <w:t>、</w:t>
            </w:r>
            <w:r>
              <w:rPr>
                <w:b/>
                <w:bCs/>
                <w:color w:val="auto"/>
                <w:sz w:val="24"/>
                <w:highlight w:val="none"/>
              </w:rPr>
              <w:t>固体废物</w:t>
            </w:r>
          </w:p>
          <w:p>
            <w:pPr>
              <w:wordWrap w:val="0"/>
              <w:spacing w:line="360" w:lineRule="auto"/>
              <w:ind w:firstLine="480" w:firstLineChars="200"/>
              <w:rPr>
                <w:color w:val="auto"/>
                <w:sz w:val="24"/>
                <w:highlight w:val="none"/>
              </w:rPr>
            </w:pPr>
            <w:r>
              <w:rPr>
                <w:color w:val="auto"/>
                <w:sz w:val="24"/>
                <w:highlight w:val="none"/>
              </w:rPr>
              <w:t>施工期固体废物主要来自工程弃渣。弃土按照《苏州市建筑垃圾</w:t>
            </w:r>
            <w:r>
              <w:rPr>
                <w:rFonts w:hint="eastAsia"/>
                <w:color w:val="auto"/>
                <w:sz w:val="24"/>
                <w:highlight w:val="none"/>
              </w:rPr>
              <w:t>（</w:t>
            </w:r>
            <w:r>
              <w:rPr>
                <w:color w:val="auto"/>
                <w:sz w:val="24"/>
                <w:highlight w:val="none"/>
              </w:rPr>
              <w:t>工程渣土</w:t>
            </w:r>
            <w:r>
              <w:rPr>
                <w:rFonts w:hint="eastAsia"/>
                <w:color w:val="auto"/>
                <w:sz w:val="24"/>
                <w:highlight w:val="none"/>
              </w:rPr>
              <w:t>）</w:t>
            </w:r>
            <w:r>
              <w:rPr>
                <w:color w:val="auto"/>
                <w:sz w:val="24"/>
                <w:highlight w:val="none"/>
              </w:rPr>
              <w:t>处置管理办法》</w:t>
            </w:r>
            <w:r>
              <w:rPr>
                <w:rFonts w:hint="eastAsia"/>
                <w:color w:val="auto"/>
                <w:sz w:val="24"/>
                <w:highlight w:val="none"/>
              </w:rPr>
              <w:t>（</w:t>
            </w:r>
            <w:r>
              <w:rPr>
                <w:color w:val="auto"/>
                <w:sz w:val="24"/>
                <w:highlight w:val="none"/>
              </w:rPr>
              <w:t>苏州市人民政府法制办公室，2011.10.17</w:t>
            </w:r>
            <w:r>
              <w:rPr>
                <w:rFonts w:hint="eastAsia"/>
                <w:color w:val="auto"/>
                <w:sz w:val="24"/>
                <w:highlight w:val="none"/>
              </w:rPr>
              <w:t>，2019年修正）</w:t>
            </w:r>
            <w:r>
              <w:rPr>
                <w:color w:val="auto"/>
                <w:sz w:val="24"/>
                <w:highlight w:val="none"/>
              </w:rPr>
              <w:t>要求由施工单位运送至指定地点处置，对环境影响较小。</w:t>
            </w:r>
          </w:p>
          <w:p>
            <w:pPr>
              <w:wordWrap w:val="0"/>
              <w:spacing w:line="360" w:lineRule="auto"/>
              <w:ind w:firstLine="480" w:firstLineChars="200"/>
              <w:rPr>
                <w:color w:val="auto"/>
                <w:sz w:val="24"/>
                <w:highlight w:val="none"/>
              </w:rPr>
            </w:pPr>
            <w:r>
              <w:rPr>
                <w:color w:val="auto"/>
                <w:sz w:val="24"/>
                <w:highlight w:val="none"/>
              </w:rPr>
              <w:t>施工期固体废物主要来自工程弃渣和施工人员生活垃圾。根据工程可行性研究报告，本项目土石方工程量详见表</w:t>
            </w:r>
            <w:r>
              <w:rPr>
                <w:rFonts w:hint="eastAsia"/>
                <w:color w:val="auto"/>
                <w:sz w:val="24"/>
                <w:highlight w:val="none"/>
              </w:rPr>
              <w:t>4-2。</w:t>
            </w:r>
          </w:p>
          <w:p>
            <w:pPr>
              <w:wordWrap w:val="0"/>
              <w:spacing w:line="400" w:lineRule="exact"/>
              <w:jc w:val="center"/>
              <w:rPr>
                <w:b/>
                <w:bCs/>
                <w:color w:val="auto"/>
                <w:szCs w:val="21"/>
                <w:highlight w:val="none"/>
              </w:rPr>
            </w:pPr>
            <w:r>
              <w:rPr>
                <w:b/>
                <w:bCs/>
                <w:color w:val="auto"/>
                <w:szCs w:val="21"/>
                <w:highlight w:val="none"/>
              </w:rPr>
              <w:t>表</w:t>
            </w:r>
            <w:r>
              <w:rPr>
                <w:rFonts w:hint="eastAsia"/>
                <w:b/>
                <w:bCs/>
                <w:color w:val="auto"/>
                <w:szCs w:val="21"/>
                <w:highlight w:val="none"/>
              </w:rPr>
              <w:t xml:space="preserve">4-2 </w:t>
            </w:r>
            <w:r>
              <w:rPr>
                <w:b/>
                <w:bCs/>
                <w:color w:val="auto"/>
                <w:szCs w:val="21"/>
                <w:highlight w:val="none"/>
              </w:rPr>
              <w:t>拟建</w:t>
            </w:r>
            <w:r>
              <w:rPr>
                <w:rFonts w:hint="eastAsia"/>
                <w:b/>
                <w:bCs/>
                <w:color w:val="auto"/>
                <w:szCs w:val="21"/>
                <w:highlight w:val="none"/>
              </w:rPr>
              <w:t>项目</w:t>
            </w:r>
            <w:r>
              <w:rPr>
                <w:b/>
                <w:bCs/>
                <w:color w:val="auto"/>
                <w:szCs w:val="21"/>
                <w:highlight w:val="none"/>
              </w:rPr>
              <w:t>土石方数量估算表</w:t>
            </w:r>
            <w:r>
              <w:rPr>
                <w:rFonts w:hint="eastAsia"/>
                <w:b/>
                <w:bCs/>
                <w:color w:val="auto"/>
                <w:szCs w:val="21"/>
                <w:highlight w:val="none"/>
              </w:rPr>
              <w:t>（单位：</w:t>
            </w:r>
            <w:r>
              <w:rPr>
                <w:b/>
                <w:bCs/>
                <w:color w:val="auto"/>
                <w:szCs w:val="21"/>
                <w:highlight w:val="none"/>
              </w:rPr>
              <w:t>m</w:t>
            </w:r>
            <w:r>
              <w:rPr>
                <w:b/>
                <w:bCs/>
                <w:color w:val="auto"/>
                <w:szCs w:val="21"/>
                <w:highlight w:val="none"/>
                <w:vertAlign w:val="superscript"/>
              </w:rPr>
              <w:t>3</w:t>
            </w:r>
            <w:r>
              <w:rPr>
                <w:rFonts w:hint="eastAsia"/>
                <w:b/>
                <w:bCs/>
                <w:color w:val="auto"/>
                <w:szCs w:val="21"/>
                <w:highlight w:val="none"/>
              </w:rPr>
              <w:t>）</w:t>
            </w:r>
          </w:p>
          <w:tbl>
            <w:tblPr>
              <w:tblStyle w:val="18"/>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64"/>
              <w:gridCol w:w="1155"/>
              <w:gridCol w:w="1237"/>
              <w:gridCol w:w="1279"/>
              <w:gridCol w:w="13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2" w:type="pct"/>
                  <w:vAlign w:val="center"/>
                </w:tcPr>
                <w:p>
                  <w:pPr>
                    <w:wordWrap w:val="0"/>
                    <w:jc w:val="center"/>
                    <w:rPr>
                      <w:color w:val="auto"/>
                      <w:szCs w:val="21"/>
                      <w:highlight w:val="none"/>
                    </w:rPr>
                  </w:pPr>
                  <w:r>
                    <w:rPr>
                      <w:rFonts w:hint="eastAsia"/>
                      <w:color w:val="auto"/>
                      <w:szCs w:val="21"/>
                      <w:highlight w:val="none"/>
                    </w:rPr>
                    <w:t>项目名称</w:t>
                  </w:r>
                </w:p>
              </w:tc>
              <w:tc>
                <w:tcPr>
                  <w:tcW w:w="681" w:type="pct"/>
                  <w:vAlign w:val="center"/>
                </w:tcPr>
                <w:p>
                  <w:pPr>
                    <w:wordWrap w:val="0"/>
                    <w:jc w:val="center"/>
                    <w:rPr>
                      <w:color w:val="auto"/>
                      <w:szCs w:val="21"/>
                      <w:highlight w:val="none"/>
                    </w:rPr>
                  </w:pPr>
                  <w:r>
                    <w:rPr>
                      <w:rFonts w:hint="eastAsia"/>
                      <w:color w:val="auto"/>
                      <w:szCs w:val="21"/>
                      <w:highlight w:val="none"/>
                    </w:rPr>
                    <w:t>总挖方</w:t>
                  </w:r>
                </w:p>
              </w:tc>
              <w:tc>
                <w:tcPr>
                  <w:tcW w:w="729" w:type="pct"/>
                  <w:vAlign w:val="center"/>
                </w:tcPr>
                <w:p>
                  <w:pPr>
                    <w:wordWrap w:val="0"/>
                    <w:jc w:val="center"/>
                    <w:rPr>
                      <w:color w:val="auto"/>
                      <w:szCs w:val="21"/>
                      <w:highlight w:val="none"/>
                    </w:rPr>
                  </w:pPr>
                  <w:r>
                    <w:rPr>
                      <w:rFonts w:hint="eastAsia"/>
                      <w:color w:val="auto"/>
                      <w:szCs w:val="21"/>
                      <w:highlight w:val="none"/>
                    </w:rPr>
                    <w:t>总填方</w:t>
                  </w:r>
                </w:p>
              </w:tc>
              <w:tc>
                <w:tcPr>
                  <w:tcW w:w="754" w:type="pct"/>
                  <w:vAlign w:val="center"/>
                </w:tcPr>
                <w:p>
                  <w:pPr>
                    <w:wordWrap w:val="0"/>
                    <w:jc w:val="center"/>
                    <w:rPr>
                      <w:color w:val="auto"/>
                      <w:szCs w:val="21"/>
                      <w:highlight w:val="none"/>
                    </w:rPr>
                  </w:pPr>
                  <w:r>
                    <w:rPr>
                      <w:rFonts w:hint="eastAsia"/>
                      <w:color w:val="auto"/>
                      <w:szCs w:val="21"/>
                      <w:highlight w:val="none"/>
                    </w:rPr>
                    <w:t>外购土方</w:t>
                  </w:r>
                </w:p>
              </w:tc>
              <w:tc>
                <w:tcPr>
                  <w:tcW w:w="791" w:type="pct"/>
                  <w:vAlign w:val="center"/>
                </w:tcPr>
                <w:p>
                  <w:pPr>
                    <w:wordWrap w:val="0"/>
                    <w:jc w:val="center"/>
                    <w:rPr>
                      <w:color w:val="auto"/>
                      <w:szCs w:val="21"/>
                      <w:highlight w:val="none"/>
                    </w:rPr>
                  </w:pPr>
                  <w:r>
                    <w:rPr>
                      <w:rFonts w:hint="eastAsia"/>
                      <w:color w:val="auto"/>
                      <w:szCs w:val="21"/>
                      <w:highlight w:val="none"/>
                    </w:rPr>
                    <w:t>废方外运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2" w:type="pct"/>
                  <w:vAlign w:val="center"/>
                </w:tcPr>
                <w:p>
                  <w:pPr>
                    <w:wordWrap w:val="0"/>
                    <w:jc w:val="center"/>
                    <w:rPr>
                      <w:color w:val="auto"/>
                      <w:szCs w:val="21"/>
                      <w:highlight w:val="none"/>
                    </w:rPr>
                  </w:pPr>
                  <w:r>
                    <w:rPr>
                      <w:rFonts w:hint="eastAsia"/>
                      <w:color w:val="auto"/>
                      <w:szCs w:val="21"/>
                      <w:highlight w:val="none"/>
                    </w:rPr>
                    <w:t>苏州工业园区市政建设管理中心建设扬东路西延工程项目</w:t>
                  </w:r>
                </w:p>
              </w:tc>
              <w:tc>
                <w:tcPr>
                  <w:tcW w:w="1143" w:type="dxa"/>
                  <w:vAlign w:val="center"/>
                </w:tcPr>
                <w:p>
                  <w:pPr>
                    <w:wordWrap w:val="0"/>
                    <w:jc w:val="center"/>
                    <w:rPr>
                      <w:color w:val="auto"/>
                      <w:szCs w:val="21"/>
                      <w:highlight w:val="none"/>
                    </w:rPr>
                  </w:pPr>
                  <w:r>
                    <w:rPr>
                      <w:rFonts w:hint="eastAsia"/>
                      <w:color w:val="auto"/>
                      <w:szCs w:val="21"/>
                      <w:highlight w:val="none"/>
                    </w:rPr>
                    <w:t>30818</w:t>
                  </w:r>
                </w:p>
              </w:tc>
              <w:tc>
                <w:tcPr>
                  <w:tcW w:w="1223" w:type="dxa"/>
                  <w:vAlign w:val="center"/>
                </w:tcPr>
                <w:p>
                  <w:pPr>
                    <w:wordWrap w:val="0"/>
                    <w:jc w:val="center"/>
                    <w:rPr>
                      <w:color w:val="auto"/>
                      <w:szCs w:val="21"/>
                      <w:highlight w:val="none"/>
                    </w:rPr>
                  </w:pPr>
                  <w:r>
                    <w:rPr>
                      <w:rFonts w:hint="eastAsia"/>
                      <w:color w:val="auto"/>
                      <w:szCs w:val="21"/>
                      <w:highlight w:val="none"/>
                    </w:rPr>
                    <w:t>28936</w:t>
                  </w:r>
                </w:p>
              </w:tc>
              <w:tc>
                <w:tcPr>
                  <w:tcW w:w="1265" w:type="dxa"/>
                  <w:vAlign w:val="center"/>
                </w:tcPr>
                <w:p>
                  <w:pPr>
                    <w:wordWrap w:val="0"/>
                    <w:jc w:val="center"/>
                    <w:rPr>
                      <w:color w:val="auto"/>
                      <w:szCs w:val="21"/>
                      <w:highlight w:val="none"/>
                    </w:rPr>
                  </w:pPr>
                  <w:r>
                    <w:rPr>
                      <w:rFonts w:hint="eastAsia"/>
                      <w:color w:val="auto"/>
                      <w:szCs w:val="21"/>
                      <w:highlight w:val="none"/>
                    </w:rPr>
                    <w:t>24294</w:t>
                  </w:r>
                </w:p>
              </w:tc>
              <w:tc>
                <w:tcPr>
                  <w:tcW w:w="1328" w:type="dxa"/>
                  <w:vAlign w:val="center"/>
                </w:tcPr>
                <w:p>
                  <w:pPr>
                    <w:wordWrap w:val="0"/>
                    <w:jc w:val="center"/>
                    <w:rPr>
                      <w:color w:val="auto"/>
                      <w:szCs w:val="21"/>
                      <w:highlight w:val="none"/>
                    </w:rPr>
                  </w:pPr>
                  <w:r>
                    <w:rPr>
                      <w:rFonts w:hint="eastAsia"/>
                      <w:color w:val="auto"/>
                      <w:szCs w:val="21"/>
                      <w:highlight w:val="none"/>
                    </w:rPr>
                    <w:t>26176</w:t>
                  </w:r>
                </w:p>
              </w:tc>
            </w:tr>
          </w:tbl>
          <w:p>
            <w:pPr>
              <w:wordWrap w:val="0"/>
              <w:spacing w:line="360" w:lineRule="auto"/>
              <w:ind w:firstLine="480" w:firstLineChars="200"/>
              <w:outlineLvl w:val="1"/>
              <w:rPr>
                <w:bCs/>
                <w:color w:val="auto"/>
                <w:sz w:val="24"/>
                <w:highlight w:val="none"/>
              </w:rPr>
            </w:pPr>
            <w:r>
              <w:rPr>
                <w:bCs/>
                <w:color w:val="auto"/>
                <w:sz w:val="24"/>
                <w:highlight w:val="none"/>
              </w:rPr>
              <w:t>根据项目周边土地利用及开发情况，本项目不设置弃土场</w:t>
            </w:r>
            <w:r>
              <w:rPr>
                <w:rFonts w:hint="eastAsia"/>
                <w:bCs/>
                <w:color w:val="auto"/>
                <w:sz w:val="24"/>
                <w:highlight w:val="none"/>
              </w:rPr>
              <w:t>，</w:t>
            </w:r>
            <w:r>
              <w:rPr>
                <w:bCs/>
                <w:color w:val="auto"/>
                <w:sz w:val="24"/>
                <w:highlight w:val="none"/>
              </w:rPr>
              <w:t>弃方量为</w:t>
            </w:r>
            <w:r>
              <w:rPr>
                <w:rFonts w:hint="eastAsia"/>
                <w:bCs/>
                <w:color w:val="auto"/>
                <w:sz w:val="24"/>
                <w:highlight w:val="none"/>
              </w:rPr>
              <w:t>26176</w:t>
            </w:r>
            <w:r>
              <w:rPr>
                <w:bCs/>
                <w:color w:val="auto"/>
                <w:sz w:val="24"/>
                <w:highlight w:val="none"/>
              </w:rPr>
              <w:t>m</w:t>
            </w:r>
            <w:r>
              <w:rPr>
                <w:bCs/>
                <w:color w:val="auto"/>
                <w:sz w:val="24"/>
                <w:highlight w:val="none"/>
                <w:vertAlign w:val="superscript"/>
              </w:rPr>
              <w:t>3</w:t>
            </w:r>
            <w:r>
              <w:rPr>
                <w:bCs/>
                <w:color w:val="auto"/>
                <w:sz w:val="24"/>
                <w:highlight w:val="none"/>
              </w:rPr>
              <w:t>，弃土按照《苏州市建筑垃圾(工程渣土)处置管理办法》(苏州市人民政府法制办公室，2011.10.17</w:t>
            </w:r>
            <w:r>
              <w:rPr>
                <w:rFonts w:hint="eastAsia"/>
                <w:bCs/>
                <w:color w:val="auto"/>
                <w:sz w:val="24"/>
                <w:highlight w:val="none"/>
              </w:rPr>
              <w:t>，2019年修正</w:t>
            </w:r>
            <w:r>
              <w:rPr>
                <w:bCs/>
                <w:color w:val="auto"/>
                <w:sz w:val="24"/>
                <w:highlight w:val="none"/>
              </w:rPr>
              <w:t>)要求</w:t>
            </w:r>
            <w:r>
              <w:rPr>
                <w:rFonts w:hint="eastAsia"/>
                <w:bCs/>
                <w:color w:val="auto"/>
                <w:sz w:val="24"/>
                <w:highlight w:val="none"/>
              </w:rPr>
              <w:t>委托有资质单位进行</w:t>
            </w:r>
            <w:r>
              <w:rPr>
                <w:bCs/>
                <w:color w:val="auto"/>
                <w:sz w:val="24"/>
                <w:highlight w:val="none"/>
              </w:rPr>
              <w:t>处置</w:t>
            </w:r>
            <w:r>
              <w:rPr>
                <w:rFonts w:hint="eastAsia"/>
                <w:bCs/>
                <w:color w:val="auto"/>
                <w:sz w:val="24"/>
                <w:highlight w:val="none"/>
              </w:rPr>
              <w:t>。</w:t>
            </w:r>
          </w:p>
          <w:p>
            <w:pPr>
              <w:spacing w:line="360" w:lineRule="auto"/>
              <w:ind w:firstLine="482" w:firstLineChars="200"/>
              <w:rPr>
                <w:b/>
                <w:bCs/>
                <w:color w:val="auto"/>
                <w:sz w:val="24"/>
                <w:highlight w:val="none"/>
              </w:rPr>
            </w:pPr>
            <w:r>
              <w:rPr>
                <w:rFonts w:hint="eastAsia"/>
                <w:b/>
                <w:bCs/>
                <w:color w:val="auto"/>
                <w:sz w:val="24"/>
                <w:highlight w:val="none"/>
              </w:rPr>
              <w:t>5</w:t>
            </w:r>
            <w:r>
              <w:rPr>
                <w:b/>
                <w:bCs/>
                <w:color w:val="auto"/>
                <w:sz w:val="24"/>
                <w:highlight w:val="none"/>
              </w:rPr>
              <w:t>、生态环境影响分析</w:t>
            </w:r>
          </w:p>
          <w:p>
            <w:pPr>
              <w:adjustRightInd w:val="0"/>
              <w:snapToGrid w:val="0"/>
              <w:spacing w:line="360" w:lineRule="auto"/>
              <w:ind w:firstLine="480" w:firstLineChars="200"/>
              <w:rPr>
                <w:color w:val="auto"/>
                <w:sz w:val="24"/>
                <w:highlight w:val="none"/>
              </w:rPr>
            </w:pPr>
            <w:r>
              <w:rPr>
                <w:color w:val="auto"/>
                <w:sz w:val="24"/>
                <w:highlight w:val="none"/>
              </w:rPr>
              <w:t>本项目道路工程沿线</w:t>
            </w:r>
            <w:r>
              <w:rPr>
                <w:rFonts w:hint="eastAsia"/>
                <w:color w:val="auto"/>
                <w:sz w:val="24"/>
                <w:highlight w:val="none"/>
              </w:rPr>
              <w:t>现状主要为空地、绿化、河道、待拆迁的二手车市场</w:t>
            </w:r>
            <w:r>
              <w:rPr>
                <w:color w:val="auto"/>
                <w:sz w:val="24"/>
                <w:highlight w:val="none"/>
              </w:rPr>
              <w:t>。所在区域目前的生态系统较为简单，没有天然植被、野生珍稀动植物，主要为绿化植物。</w:t>
            </w:r>
            <w:r>
              <w:rPr>
                <w:rFonts w:hint="eastAsia"/>
                <w:color w:val="auto"/>
                <w:sz w:val="24"/>
                <w:highlight w:val="none"/>
              </w:rPr>
              <w:t>本项目占用农用地 0.0822公顷，建设单位应根据“占补平衡”原则，提出相应异地补偿方案，按照园区土地使用流程完成农用地转用申请并获得批复；另本项目</w:t>
            </w:r>
            <w:r>
              <w:rPr>
                <w:color w:val="auto"/>
                <w:sz w:val="24"/>
                <w:highlight w:val="none"/>
              </w:rPr>
              <w:t>通过采取合理规划施工进度、设置导流沟渠、及时修复临时用地地表植被等措施后，可有效减轻项目实施对生态环境造成的损失，水土流失可以得到有效控制。总之，项目施工期影响是短暂的，随着施工期结束，影响随之消除。</w:t>
            </w:r>
          </w:p>
          <w:p>
            <w:pPr>
              <w:adjustRightInd w:val="0"/>
              <w:snapToGrid w:val="0"/>
              <w:spacing w:line="360" w:lineRule="auto"/>
              <w:ind w:firstLine="480" w:firstLineChars="200"/>
              <w:rPr>
                <w:color w:val="auto"/>
                <w:sz w:val="24"/>
                <w:szCs w:val="32"/>
                <w:highlight w:val="none"/>
              </w:rPr>
            </w:pPr>
            <w:r>
              <w:rPr>
                <w:rFonts w:hint="eastAsia"/>
                <w:color w:val="auto"/>
                <w:sz w:val="24"/>
                <w:szCs w:val="32"/>
                <w:highlight w:val="none"/>
              </w:rPr>
              <w:t>桥梁在施工期水下作业时，搅动水体和河床底泥，局部范围内破坏了鱼类的栖息地，对鱼类也有驱赶作用，也会使鱼类远离施工现场。施工产生的泥浆污染将对生物造成不良影响。鱼类等水生生物生存空间的减少导致食物竞争加剧，致使种间和种内竞争加剧，鱼类的种群结构和数量都会发生一定程度的变化而趋于减少。本项目对鱼类的影响只局限于施工作业区域一定范围内，鱼类择水而栖迁到其它地方，不会对当地渔业资源产生较大的影响。工程完成后，如能保证流域内水量充沛，水质清洁，并结合采取鱼类保护措施，原有的鱼类资源及其生息环境不会有太大的变化，对该区域鱼类种类、数量的影响不大。</w:t>
            </w:r>
          </w:p>
          <w:p>
            <w:pPr>
              <w:wordWrap w:val="0"/>
              <w:spacing w:line="360" w:lineRule="auto"/>
              <w:ind w:firstLine="480" w:firstLineChars="200"/>
              <w:rPr>
                <w:color w:val="auto"/>
                <w:sz w:val="24"/>
                <w:highlight w:val="none"/>
              </w:rPr>
            </w:pPr>
            <w:r>
              <w:rPr>
                <w:rFonts w:hint="eastAsia"/>
                <w:color w:val="auto"/>
                <w:sz w:val="24"/>
                <w:szCs w:val="32"/>
                <w:highlight w:val="none"/>
              </w:rPr>
              <w:t>管沟开挖过程中产生的弃土对周围土壤、水体均有一定程度影响，须及时进行弃土覆盖、清运，清运过程中运输车辆应做好防护措施，防止弃土逸散到其他环境。</w:t>
            </w:r>
          </w:p>
          <w:p>
            <w:pPr>
              <w:wordWrap w:val="0"/>
              <w:spacing w:line="360" w:lineRule="auto"/>
              <w:ind w:firstLine="482" w:firstLineChars="200"/>
              <w:rPr>
                <w:b/>
                <w:bCs/>
                <w:color w:val="auto"/>
                <w:sz w:val="24"/>
                <w:highlight w:val="none"/>
              </w:rPr>
            </w:pPr>
            <w:r>
              <w:rPr>
                <w:rFonts w:hint="eastAsia"/>
                <w:b/>
                <w:bCs/>
                <w:color w:val="auto"/>
                <w:sz w:val="24"/>
                <w:highlight w:val="none"/>
              </w:rPr>
              <w:t>6、环境风险分析</w:t>
            </w:r>
          </w:p>
          <w:p>
            <w:pPr>
              <w:spacing w:line="360" w:lineRule="auto"/>
              <w:ind w:firstLine="482" w:firstLineChars="200"/>
              <w:rPr>
                <w:color w:val="auto"/>
                <w:sz w:val="24"/>
                <w:highlight w:val="none"/>
              </w:rPr>
            </w:pPr>
            <w:r>
              <w:rPr>
                <w:rFonts w:hint="eastAsia"/>
                <w:b/>
                <w:bCs/>
                <w:color w:val="auto"/>
                <w:sz w:val="24"/>
                <w:highlight w:val="none"/>
              </w:rPr>
              <w:t>6.1施工期间风险分析</w:t>
            </w:r>
          </w:p>
          <w:p>
            <w:pPr>
              <w:spacing w:line="360" w:lineRule="auto"/>
              <w:ind w:firstLine="480" w:firstLineChars="200"/>
              <w:rPr>
                <w:color w:val="auto"/>
                <w:sz w:val="24"/>
                <w:highlight w:val="none"/>
              </w:rPr>
            </w:pPr>
            <w:r>
              <w:rPr>
                <w:rFonts w:hint="eastAsia"/>
                <w:color w:val="auto"/>
                <w:sz w:val="24"/>
                <w:highlight w:val="none"/>
              </w:rPr>
              <w:t>本项目为新建跨外塘河桥及道路。结合本桥的特点，施工期间的特殊性的工程风险如下：</w:t>
            </w:r>
          </w:p>
          <w:p>
            <w:pPr>
              <w:spacing w:line="360" w:lineRule="auto"/>
              <w:ind w:firstLine="480" w:firstLineChars="200"/>
              <w:rPr>
                <w:color w:val="auto"/>
                <w:sz w:val="24"/>
                <w:highlight w:val="none"/>
              </w:rPr>
            </w:pPr>
            <w:r>
              <w:rPr>
                <w:rFonts w:hint="eastAsia"/>
                <w:color w:val="auto"/>
                <w:sz w:val="24"/>
                <w:highlight w:val="none"/>
              </w:rPr>
              <w:t>（1）桩基施工</w:t>
            </w:r>
          </w:p>
          <w:p>
            <w:pPr>
              <w:spacing w:line="360" w:lineRule="auto"/>
              <w:ind w:firstLine="480" w:firstLineChars="200"/>
              <w:rPr>
                <w:color w:val="auto"/>
                <w:sz w:val="24"/>
                <w:highlight w:val="none"/>
              </w:rPr>
            </w:pPr>
            <w:r>
              <w:rPr>
                <w:rFonts w:hint="eastAsia"/>
                <w:color w:val="auto"/>
                <w:sz w:val="24"/>
                <w:highlight w:val="none"/>
              </w:rPr>
              <w:t>在钻孔期间，可能出现塌孔、缩颈、钻孔孔身偏斜等。在浇筑桩身混凝土的过程中，鉴于钻孔灌桩混凝土施工方量大、时间长、连续性作业等要求，也可能因现场技术人员及监理人员控制不力、工人操作不当引起混凝土管堵塞、导管超拔等作业中断现象，导致断桩发生。</w:t>
            </w:r>
          </w:p>
          <w:p>
            <w:pPr>
              <w:spacing w:line="360" w:lineRule="auto"/>
              <w:ind w:firstLine="480" w:firstLineChars="200"/>
              <w:rPr>
                <w:color w:val="auto"/>
                <w:sz w:val="24"/>
                <w:highlight w:val="none"/>
              </w:rPr>
            </w:pPr>
            <w:r>
              <w:rPr>
                <w:rFonts w:hint="eastAsia"/>
                <w:color w:val="auto"/>
                <w:sz w:val="24"/>
                <w:highlight w:val="none"/>
              </w:rPr>
              <w:t>（2）承台桥台、大面积开挖</w:t>
            </w:r>
          </w:p>
          <w:p>
            <w:pPr>
              <w:spacing w:line="360" w:lineRule="auto"/>
              <w:ind w:firstLine="480" w:firstLineChars="200"/>
              <w:rPr>
                <w:color w:val="auto"/>
                <w:sz w:val="24"/>
                <w:highlight w:val="none"/>
              </w:rPr>
            </w:pPr>
            <w:r>
              <w:rPr>
                <w:rFonts w:hint="eastAsia"/>
                <w:color w:val="auto"/>
                <w:sz w:val="24"/>
                <w:highlight w:val="none"/>
              </w:rPr>
              <w:t>可能破坏驳岸及周边设施，应采取相应加固措施，降水、临时支撑层措施，并加以监测。</w:t>
            </w:r>
          </w:p>
          <w:p>
            <w:pPr>
              <w:spacing w:line="360" w:lineRule="auto"/>
              <w:ind w:firstLine="480" w:firstLineChars="200"/>
              <w:rPr>
                <w:color w:val="auto"/>
                <w:sz w:val="24"/>
                <w:highlight w:val="none"/>
              </w:rPr>
            </w:pPr>
            <w:r>
              <w:rPr>
                <w:rFonts w:hint="eastAsia"/>
                <w:color w:val="auto"/>
                <w:sz w:val="24"/>
                <w:highlight w:val="none"/>
              </w:rPr>
              <w:t>（3）工厂、现场焊接</w:t>
            </w:r>
          </w:p>
          <w:p>
            <w:pPr>
              <w:spacing w:line="360" w:lineRule="auto"/>
              <w:ind w:firstLine="480" w:firstLineChars="200"/>
              <w:rPr>
                <w:color w:val="auto"/>
                <w:sz w:val="24"/>
                <w:highlight w:val="none"/>
              </w:rPr>
            </w:pPr>
            <w:r>
              <w:rPr>
                <w:rFonts w:hint="eastAsia"/>
                <w:color w:val="auto"/>
                <w:sz w:val="24"/>
                <w:highlight w:val="none"/>
              </w:rPr>
              <w:t>加强质量监测、应进行焊接工艺试验并严格执行；注意现场焊接条件。</w:t>
            </w:r>
          </w:p>
          <w:p>
            <w:pPr>
              <w:spacing w:line="360" w:lineRule="auto"/>
              <w:ind w:firstLine="480" w:firstLineChars="200"/>
              <w:rPr>
                <w:color w:val="auto"/>
                <w:sz w:val="24"/>
                <w:highlight w:val="none"/>
              </w:rPr>
            </w:pPr>
            <w:r>
              <w:rPr>
                <w:rFonts w:hint="eastAsia"/>
                <w:color w:val="auto"/>
                <w:sz w:val="24"/>
                <w:highlight w:val="none"/>
              </w:rPr>
              <w:t>（4）主桥钢结构节段运输、现场拼接、吊装安全</w:t>
            </w:r>
          </w:p>
          <w:p>
            <w:pPr>
              <w:spacing w:line="360" w:lineRule="auto"/>
              <w:ind w:firstLine="480" w:firstLineChars="200"/>
              <w:rPr>
                <w:color w:val="auto"/>
                <w:sz w:val="24"/>
                <w:highlight w:val="none"/>
              </w:rPr>
            </w:pPr>
            <w:r>
              <w:rPr>
                <w:rFonts w:hint="eastAsia"/>
                <w:color w:val="auto"/>
                <w:sz w:val="24"/>
                <w:highlight w:val="none"/>
              </w:rPr>
              <w:t>节段运输采用水路运输，板件单元多，在运输、现场拼装、吊装作业时，需采取相应监管措施，避免发生以外事件，危及施工安全。</w:t>
            </w:r>
          </w:p>
          <w:p>
            <w:pPr>
              <w:spacing w:line="360" w:lineRule="auto"/>
              <w:ind w:firstLine="480" w:firstLineChars="200"/>
              <w:rPr>
                <w:color w:val="auto"/>
                <w:sz w:val="24"/>
                <w:highlight w:val="none"/>
              </w:rPr>
            </w:pPr>
            <w:r>
              <w:rPr>
                <w:rFonts w:hint="eastAsia"/>
                <w:color w:val="auto"/>
                <w:sz w:val="24"/>
                <w:highlight w:val="none"/>
              </w:rPr>
              <w:t>（5）钢结构拼装的精度控制</w:t>
            </w:r>
          </w:p>
          <w:p>
            <w:pPr>
              <w:spacing w:line="360" w:lineRule="auto"/>
              <w:ind w:firstLine="480" w:firstLineChars="200"/>
              <w:rPr>
                <w:color w:val="auto"/>
                <w:sz w:val="24"/>
                <w:highlight w:val="none"/>
              </w:rPr>
            </w:pPr>
            <w:r>
              <w:rPr>
                <w:rFonts w:hint="eastAsia"/>
                <w:color w:val="auto"/>
                <w:sz w:val="24"/>
                <w:highlight w:val="none"/>
              </w:rPr>
              <w:t>本桥主桥主梁采用钢箱梁结构，钢结构分块数量较多，不同块件之间拼装精度要求较高，施工过程中应严格控制。</w:t>
            </w:r>
          </w:p>
          <w:p>
            <w:pPr>
              <w:spacing w:line="360" w:lineRule="auto"/>
              <w:ind w:firstLine="482" w:firstLineChars="200"/>
              <w:rPr>
                <w:color w:val="auto"/>
                <w:sz w:val="24"/>
                <w:highlight w:val="none"/>
              </w:rPr>
            </w:pPr>
            <w:r>
              <w:rPr>
                <w:rFonts w:hint="eastAsia"/>
                <w:b/>
                <w:bCs/>
                <w:color w:val="auto"/>
                <w:sz w:val="24"/>
                <w:highlight w:val="none"/>
              </w:rPr>
              <w:t>6.2施工期间的保障措施</w:t>
            </w:r>
          </w:p>
          <w:p>
            <w:pPr>
              <w:spacing w:line="360" w:lineRule="auto"/>
              <w:ind w:firstLine="480" w:firstLineChars="200"/>
              <w:rPr>
                <w:color w:val="auto"/>
                <w:sz w:val="24"/>
                <w:highlight w:val="none"/>
              </w:rPr>
            </w:pPr>
            <w:r>
              <w:rPr>
                <w:rFonts w:hint="eastAsia"/>
                <w:color w:val="auto"/>
                <w:sz w:val="24"/>
                <w:highlight w:val="none"/>
              </w:rPr>
              <w:t>（1）设计方案方面的保障措施</w:t>
            </w:r>
          </w:p>
          <w:p>
            <w:pPr>
              <w:spacing w:line="360" w:lineRule="auto"/>
              <w:ind w:firstLine="480" w:firstLineChars="200"/>
              <w:rPr>
                <w:color w:val="auto"/>
                <w:sz w:val="24"/>
                <w:highlight w:val="none"/>
              </w:rPr>
            </w:pPr>
            <w:r>
              <w:rPr>
                <w:rFonts w:hint="eastAsia"/>
                <w:color w:val="auto"/>
                <w:sz w:val="24"/>
                <w:highlight w:val="none"/>
              </w:rPr>
              <w:t>采用箱梁结构，基础采用钻孔灌注桩等，合理的设计方案是工期保障的首要因素。</w:t>
            </w:r>
          </w:p>
          <w:p>
            <w:pPr>
              <w:spacing w:line="360" w:lineRule="auto"/>
              <w:ind w:firstLine="480" w:firstLineChars="200"/>
              <w:rPr>
                <w:color w:val="auto"/>
                <w:sz w:val="24"/>
                <w:highlight w:val="none"/>
              </w:rPr>
            </w:pPr>
            <w:r>
              <w:rPr>
                <w:rFonts w:hint="eastAsia"/>
                <w:color w:val="auto"/>
                <w:sz w:val="24"/>
                <w:highlight w:val="none"/>
              </w:rPr>
              <w:t>（2）设计进度方面的保障措施</w:t>
            </w:r>
          </w:p>
          <w:p>
            <w:pPr>
              <w:spacing w:line="360" w:lineRule="auto"/>
              <w:ind w:firstLine="480" w:firstLineChars="200"/>
              <w:rPr>
                <w:color w:val="auto"/>
                <w:sz w:val="24"/>
                <w:highlight w:val="none"/>
              </w:rPr>
            </w:pPr>
            <w:r>
              <w:rPr>
                <w:rFonts w:hint="eastAsia"/>
                <w:color w:val="auto"/>
                <w:sz w:val="24"/>
                <w:highlight w:val="none"/>
              </w:rPr>
              <w:t>设计进度比施工进度必须有合理的超前性，以提前指导施工，做好施工组织安排。为保证设计进度，堆积基础设计有直接影响的试桩工作，相关计算研究工作必须按期完成。设计院合理安排组织好这些工作。</w:t>
            </w:r>
          </w:p>
          <w:p>
            <w:pPr>
              <w:spacing w:line="360" w:lineRule="auto"/>
              <w:ind w:firstLine="480" w:firstLineChars="200"/>
              <w:rPr>
                <w:color w:val="auto"/>
                <w:sz w:val="24"/>
                <w:highlight w:val="none"/>
              </w:rPr>
            </w:pPr>
            <w:r>
              <w:rPr>
                <w:rFonts w:hint="eastAsia"/>
                <w:color w:val="auto"/>
                <w:sz w:val="24"/>
                <w:highlight w:val="none"/>
              </w:rPr>
              <w:t>（3）施工方面的具体保障措施</w:t>
            </w:r>
          </w:p>
          <w:p>
            <w:pPr>
              <w:spacing w:line="360" w:lineRule="auto"/>
              <w:ind w:firstLine="480" w:firstLineChars="200"/>
              <w:rPr>
                <w:color w:val="auto"/>
                <w:sz w:val="24"/>
                <w:highlight w:val="none"/>
              </w:rPr>
            </w:pPr>
            <w:r>
              <w:rPr>
                <w:rFonts w:hint="eastAsia"/>
                <w:color w:val="auto"/>
                <w:sz w:val="24"/>
                <w:highlight w:val="none"/>
              </w:rPr>
              <w:t>对常规的一般施工抓紧时间，对特殊的施工提前做好工艺试验以作指导。对工程进度、质量、工期有较大影响的施工工序需做好风险分析并提前应对。</w:t>
            </w:r>
          </w:p>
          <w:p>
            <w:pPr>
              <w:spacing w:line="360" w:lineRule="auto"/>
              <w:ind w:firstLine="482" w:firstLineChars="200"/>
              <w:rPr>
                <w:color w:val="auto"/>
                <w:sz w:val="24"/>
                <w:highlight w:val="none"/>
              </w:rPr>
            </w:pPr>
            <w:r>
              <w:rPr>
                <w:rFonts w:hint="eastAsia"/>
                <w:b/>
                <w:bCs/>
                <w:color w:val="auto"/>
                <w:sz w:val="24"/>
                <w:highlight w:val="none"/>
              </w:rPr>
              <w:t>6.3运营期间的保障措施</w:t>
            </w:r>
          </w:p>
          <w:p>
            <w:pPr>
              <w:spacing w:line="360" w:lineRule="auto"/>
              <w:ind w:firstLine="480" w:firstLineChars="200"/>
              <w:rPr>
                <w:color w:val="auto"/>
                <w:sz w:val="24"/>
                <w:highlight w:val="none"/>
              </w:rPr>
            </w:pPr>
            <w:r>
              <w:rPr>
                <w:rFonts w:hint="eastAsia"/>
                <w:color w:val="auto"/>
                <w:sz w:val="24"/>
                <w:highlight w:val="none"/>
              </w:rPr>
              <w:t>（1）超载风险识别</w:t>
            </w:r>
          </w:p>
          <w:p>
            <w:pPr>
              <w:spacing w:line="360" w:lineRule="auto"/>
              <w:ind w:firstLine="480" w:firstLineChars="200"/>
              <w:rPr>
                <w:color w:val="auto"/>
                <w:sz w:val="24"/>
                <w:highlight w:val="none"/>
              </w:rPr>
            </w:pPr>
            <w:r>
              <w:rPr>
                <w:rFonts w:hint="eastAsia"/>
                <w:color w:val="auto"/>
                <w:sz w:val="24"/>
                <w:highlight w:val="none"/>
              </w:rPr>
              <w:t>风险识别的任务是找到超载将对结构的使用、环境等方面的产生的影响。从行车安全、环境以及结构等方面考虑，超载引起的风险可归纳为五类：行车安全风险、环境污染风险、结构耐久性风险、结构受力安全风险、结构突然损坏风险。</w:t>
            </w:r>
          </w:p>
          <w:p>
            <w:pPr>
              <w:spacing w:line="360" w:lineRule="auto"/>
              <w:ind w:firstLine="480" w:firstLineChars="200"/>
              <w:rPr>
                <w:color w:val="auto"/>
                <w:sz w:val="24"/>
                <w:highlight w:val="none"/>
              </w:rPr>
            </w:pPr>
            <w:r>
              <w:rPr>
                <w:rFonts w:hint="eastAsia"/>
                <w:color w:val="auto"/>
                <w:sz w:val="24"/>
                <w:highlight w:val="none"/>
              </w:rPr>
              <w:t>1）行车安全风险</w:t>
            </w:r>
          </w:p>
          <w:p>
            <w:pPr>
              <w:spacing w:line="360" w:lineRule="auto"/>
              <w:ind w:firstLine="480" w:firstLineChars="200"/>
              <w:rPr>
                <w:color w:val="auto"/>
                <w:sz w:val="24"/>
                <w:highlight w:val="none"/>
              </w:rPr>
            </w:pPr>
            <w:r>
              <w:rPr>
                <w:rFonts w:hint="eastAsia"/>
                <w:color w:val="auto"/>
                <w:sz w:val="24"/>
                <w:highlight w:val="none"/>
              </w:rPr>
              <w:t>超载引起的行车安全风险主要包括使车辆制动性能恶化、降低车辆操作稳定性和增加了驾驶人员的工作强度三个方面。</w:t>
            </w:r>
          </w:p>
          <w:p>
            <w:pPr>
              <w:spacing w:line="360" w:lineRule="auto"/>
              <w:ind w:firstLine="480" w:firstLineChars="200"/>
              <w:rPr>
                <w:color w:val="auto"/>
                <w:sz w:val="24"/>
                <w:highlight w:val="none"/>
              </w:rPr>
            </w:pPr>
            <w:r>
              <w:rPr>
                <w:rFonts w:hint="eastAsia"/>
                <w:color w:val="auto"/>
                <w:sz w:val="24"/>
                <w:highlight w:val="none"/>
              </w:rPr>
              <w:t>2）环境污染风险</w:t>
            </w:r>
          </w:p>
          <w:p>
            <w:pPr>
              <w:spacing w:line="360" w:lineRule="auto"/>
              <w:ind w:firstLine="480" w:firstLineChars="200"/>
              <w:rPr>
                <w:color w:val="auto"/>
                <w:sz w:val="24"/>
                <w:highlight w:val="none"/>
              </w:rPr>
            </w:pPr>
            <w:r>
              <w:rPr>
                <w:rFonts w:hint="eastAsia"/>
                <w:color w:val="auto"/>
                <w:sz w:val="24"/>
                <w:highlight w:val="none"/>
              </w:rPr>
              <w:t>超载引起的环境风险主要指超载后车辆整体性能下降，发动机长期处于大负荷运载下，加之超载车辆是长期从事长途运输的大型或者，车况不好，发动机废气排放容易发生超标，从而加重尾气对环境影响。</w:t>
            </w:r>
          </w:p>
          <w:p>
            <w:pPr>
              <w:spacing w:line="360" w:lineRule="auto"/>
              <w:ind w:firstLine="480" w:firstLineChars="200"/>
              <w:rPr>
                <w:color w:val="auto"/>
                <w:sz w:val="24"/>
                <w:highlight w:val="none"/>
              </w:rPr>
            </w:pPr>
            <w:r>
              <w:rPr>
                <w:rFonts w:hint="eastAsia"/>
                <w:color w:val="auto"/>
                <w:sz w:val="24"/>
                <w:highlight w:val="none"/>
              </w:rPr>
              <w:t>3）结构耐久性风险</w:t>
            </w:r>
          </w:p>
          <w:p>
            <w:pPr>
              <w:spacing w:line="360" w:lineRule="auto"/>
              <w:ind w:firstLine="480" w:firstLineChars="200"/>
              <w:rPr>
                <w:color w:val="auto"/>
                <w:sz w:val="24"/>
                <w:highlight w:val="none"/>
              </w:rPr>
            </w:pPr>
            <w:r>
              <w:rPr>
                <w:rFonts w:hint="eastAsia"/>
                <w:color w:val="auto"/>
                <w:sz w:val="24"/>
                <w:highlight w:val="none"/>
              </w:rPr>
              <w:t>超载引起的结构耐久性风险主要指超载引起的结构相应（应力、变形）在结构能承受的范围内，但已经使结构处于高应力及大应变下。长期处于该状态下，或长期经受这样的应力和变形使结构受力状况恶化，缩短了结构的使用寿命，典型的耐久性问题有疲劳问题、裂缝问题、构件锈蚀。</w:t>
            </w:r>
          </w:p>
          <w:p>
            <w:pPr>
              <w:spacing w:line="360" w:lineRule="auto"/>
              <w:ind w:firstLine="480" w:firstLineChars="200"/>
              <w:rPr>
                <w:color w:val="auto"/>
                <w:sz w:val="24"/>
                <w:highlight w:val="none"/>
              </w:rPr>
            </w:pPr>
            <w:r>
              <w:rPr>
                <w:rFonts w:hint="eastAsia"/>
                <w:color w:val="auto"/>
                <w:sz w:val="24"/>
                <w:highlight w:val="none"/>
              </w:rPr>
              <w:t>4）结构受力安全风险</w:t>
            </w:r>
          </w:p>
          <w:p>
            <w:pPr>
              <w:spacing w:line="360" w:lineRule="auto"/>
              <w:ind w:firstLine="480" w:firstLineChars="200"/>
              <w:rPr>
                <w:color w:val="auto"/>
                <w:sz w:val="24"/>
                <w:highlight w:val="none"/>
              </w:rPr>
            </w:pPr>
            <w:r>
              <w:rPr>
                <w:rFonts w:hint="eastAsia"/>
                <w:color w:val="auto"/>
                <w:sz w:val="24"/>
                <w:highlight w:val="none"/>
              </w:rPr>
              <w:t>结构受力安全风险主要是指超载引起的结构相应（应力、变形）超出结构能承受的范围，尤其是结构损伤破坏了结构原有的受力体系，引起结构内部内力重分配，结构处于新状态下。</w:t>
            </w:r>
          </w:p>
          <w:p>
            <w:pPr>
              <w:spacing w:line="360" w:lineRule="auto"/>
              <w:ind w:firstLine="480" w:firstLineChars="200"/>
              <w:rPr>
                <w:color w:val="auto"/>
                <w:sz w:val="24"/>
                <w:highlight w:val="none"/>
              </w:rPr>
            </w:pPr>
            <w:r>
              <w:rPr>
                <w:rFonts w:hint="eastAsia"/>
                <w:color w:val="auto"/>
                <w:sz w:val="24"/>
                <w:highlight w:val="none"/>
              </w:rPr>
              <w:t>5）结构突然损坏风险</w:t>
            </w:r>
          </w:p>
          <w:p>
            <w:pPr>
              <w:spacing w:line="360" w:lineRule="auto"/>
              <w:ind w:firstLine="480" w:firstLineChars="200"/>
              <w:rPr>
                <w:color w:val="auto"/>
                <w:sz w:val="24"/>
                <w:highlight w:val="none"/>
              </w:rPr>
            </w:pPr>
            <w:r>
              <w:rPr>
                <w:rFonts w:hint="eastAsia"/>
                <w:color w:val="auto"/>
                <w:sz w:val="24"/>
                <w:highlight w:val="none"/>
              </w:rPr>
              <w:t>超载引起的结构突然损坏风险是指超载行驶条件恶化，容易引发交通安全，影响到结构构件的正常使用，使结构的作用力远大于设计水平，引起远高于设计水平的损害，因而有必要进行此项讨论</w:t>
            </w:r>
          </w:p>
          <w:p>
            <w:pPr>
              <w:spacing w:line="360" w:lineRule="auto"/>
              <w:ind w:firstLine="480" w:firstLineChars="200"/>
              <w:rPr>
                <w:color w:val="auto"/>
                <w:sz w:val="24"/>
                <w:highlight w:val="none"/>
              </w:rPr>
            </w:pPr>
            <w:r>
              <w:rPr>
                <w:rFonts w:hint="eastAsia"/>
                <w:color w:val="auto"/>
                <w:sz w:val="24"/>
                <w:highlight w:val="none"/>
              </w:rPr>
              <w:t>（</w:t>
            </w:r>
            <w:r>
              <w:rPr>
                <w:rFonts w:hint="eastAsia"/>
                <w:color w:val="auto"/>
                <w:sz w:val="24"/>
                <w:highlight w:val="none"/>
                <w:lang w:val="en-US" w:eastAsia="zh-CN"/>
              </w:rPr>
              <w:t>2</w:t>
            </w:r>
            <w:r>
              <w:rPr>
                <w:rFonts w:hint="eastAsia"/>
                <w:color w:val="auto"/>
                <w:sz w:val="24"/>
                <w:highlight w:val="none"/>
              </w:rPr>
              <w:t>）超载风险管理</w:t>
            </w:r>
          </w:p>
          <w:p>
            <w:pPr>
              <w:spacing w:line="360" w:lineRule="auto"/>
              <w:ind w:firstLine="480" w:firstLineChars="200"/>
              <w:rPr>
                <w:color w:val="auto"/>
                <w:sz w:val="24"/>
                <w:highlight w:val="none"/>
              </w:rPr>
            </w:pPr>
            <w:r>
              <w:rPr>
                <w:rFonts w:hint="eastAsia"/>
                <w:color w:val="auto"/>
                <w:sz w:val="24"/>
                <w:highlight w:val="none"/>
              </w:rPr>
              <w:t>针对以上分析，建议从以下几方面超载进行控制，减小超载带来的不利影响：</w:t>
            </w:r>
          </w:p>
          <w:p>
            <w:pPr>
              <w:spacing w:line="360" w:lineRule="auto"/>
              <w:ind w:firstLine="480" w:firstLineChars="200"/>
              <w:rPr>
                <w:color w:val="auto"/>
                <w:sz w:val="24"/>
                <w:highlight w:val="none"/>
              </w:rPr>
            </w:pPr>
            <w:r>
              <w:rPr>
                <w:rFonts w:hint="eastAsia"/>
                <w:color w:val="auto"/>
                <w:sz w:val="24"/>
                <w:highlight w:val="none"/>
              </w:rPr>
              <w:t>1）加强管理，限制超载车辆上桥引起超载风险的直接原因是车辆违反有关规定，过量运输。因此超载风险管理最直接的办法就是加强监管，控制超载车辆上桥。</w:t>
            </w:r>
          </w:p>
          <w:p>
            <w:pPr>
              <w:spacing w:line="360" w:lineRule="auto"/>
              <w:ind w:firstLine="480" w:firstLineChars="200"/>
              <w:rPr>
                <w:color w:val="auto"/>
                <w:sz w:val="24"/>
                <w:highlight w:val="none"/>
              </w:rPr>
            </w:pPr>
            <w:r>
              <w:rPr>
                <w:rFonts w:hint="eastAsia"/>
                <w:color w:val="auto"/>
                <w:sz w:val="24"/>
                <w:highlight w:val="none"/>
              </w:rPr>
              <w:t>2）深化设计，提高结构抗超载影响力对受超载影响明显的构件，可以考虑针对超载进行专门研究，在设计中考虑一定程度的富裕。</w:t>
            </w:r>
          </w:p>
          <w:p>
            <w:pPr>
              <w:spacing w:line="360" w:lineRule="auto"/>
              <w:ind w:firstLine="480" w:firstLineChars="200"/>
              <w:rPr>
                <w:color w:val="auto"/>
                <w:sz w:val="24"/>
                <w:highlight w:val="none"/>
              </w:rPr>
            </w:pPr>
            <w:r>
              <w:rPr>
                <w:rFonts w:hint="eastAsia"/>
                <w:color w:val="auto"/>
                <w:sz w:val="24"/>
                <w:highlight w:val="none"/>
              </w:rPr>
              <w:t>3）加强维护，及时处理已经出现的超载引起的结构损伤</w:t>
            </w:r>
          </w:p>
          <w:p>
            <w:pPr>
              <w:spacing w:line="360" w:lineRule="auto"/>
              <w:ind w:firstLine="480" w:firstLineChars="200"/>
              <w:rPr>
                <w:rFonts w:hint="eastAsia"/>
                <w:color w:val="auto"/>
                <w:sz w:val="24"/>
                <w:highlight w:val="none"/>
              </w:rPr>
            </w:pPr>
            <w:r>
              <w:rPr>
                <w:rFonts w:hint="eastAsia"/>
                <w:color w:val="auto"/>
                <w:sz w:val="24"/>
                <w:highlight w:val="none"/>
              </w:rPr>
              <w:t>在原有维护的基础上，针对超载影响，对一些重点的构件和部位进行积极的检测和维护。</w:t>
            </w:r>
          </w:p>
          <w:p>
            <w:pPr>
              <w:spacing w:line="360" w:lineRule="auto"/>
              <w:ind w:firstLine="480" w:firstLineChars="200"/>
              <w:rPr>
                <w:rFonts w:hint="eastAsia"/>
                <w:color w:val="auto"/>
                <w:sz w:val="24"/>
                <w:highlight w:val="none"/>
              </w:rPr>
            </w:pPr>
          </w:p>
          <w:p>
            <w:pPr>
              <w:pStyle w:val="4"/>
              <w:ind w:left="0" w:leftChars="0" w:firstLine="0" w:firstLineChars="0"/>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28" w:hRule="atLeast"/>
          <w:jc w:val="center"/>
        </w:trPr>
        <w:tc>
          <w:tcPr>
            <w:tcW w:w="746" w:type="dxa"/>
            <w:tcMar>
              <w:left w:w="28" w:type="dxa"/>
              <w:right w:w="28" w:type="dxa"/>
            </w:tcMar>
            <w:vAlign w:val="center"/>
          </w:tcPr>
          <w:p>
            <w:pPr>
              <w:adjustRightInd w:val="0"/>
              <w:snapToGrid w:val="0"/>
              <w:jc w:val="center"/>
              <w:rPr>
                <w:rFonts w:ascii="宋体" w:hAnsi="宋体" w:cs="宋体"/>
                <w:bCs/>
                <w:color w:val="auto"/>
                <w:szCs w:val="21"/>
                <w:highlight w:val="none"/>
              </w:rPr>
            </w:pPr>
            <w:r>
              <w:rPr>
                <w:bCs/>
                <w:color w:val="auto"/>
                <w:spacing w:val="10"/>
                <w:szCs w:val="21"/>
                <w:highlight w:val="none"/>
              </w:rPr>
              <w:t>运营期生态环境影响分析</w:t>
            </w:r>
          </w:p>
        </w:tc>
        <w:tc>
          <w:tcPr>
            <w:tcW w:w="8162" w:type="dxa"/>
            <w:vAlign w:val="center"/>
          </w:tcPr>
          <w:p>
            <w:pPr>
              <w:spacing w:line="400" w:lineRule="atLeast"/>
              <w:ind w:firstLine="482" w:firstLineChars="200"/>
              <w:rPr>
                <w:b/>
                <w:bCs/>
                <w:color w:val="auto"/>
                <w:sz w:val="24"/>
                <w:highlight w:val="none"/>
              </w:rPr>
            </w:pPr>
            <w:r>
              <w:rPr>
                <w:b/>
                <w:bCs/>
                <w:color w:val="auto"/>
                <w:sz w:val="24"/>
                <w:highlight w:val="none"/>
              </w:rPr>
              <w:t>1、大气环境影响分析</w:t>
            </w:r>
          </w:p>
          <w:p>
            <w:pPr>
              <w:pStyle w:val="29"/>
              <w:spacing w:after="0" w:line="400" w:lineRule="atLeast"/>
              <w:ind w:firstLine="480" w:firstLineChars="200"/>
              <w:jc w:val="both"/>
              <w:rPr>
                <w:rFonts w:ascii="Times New Roman" w:hAnsi="Times New Roman" w:cs="Times New Roman"/>
                <w:color w:val="auto"/>
                <w:kern w:val="2"/>
                <w:sz w:val="24"/>
                <w:szCs w:val="24"/>
                <w:highlight w:val="none"/>
              </w:rPr>
            </w:pPr>
            <w:r>
              <w:rPr>
                <w:rFonts w:ascii="Times New Roman" w:hAnsi="Times New Roman" w:cs="Times New Roman"/>
                <w:color w:val="auto"/>
                <w:kern w:val="2"/>
                <w:sz w:val="24"/>
                <w:szCs w:val="24"/>
                <w:highlight w:val="none"/>
              </w:rPr>
              <w:t>本项目运营期排放的大气污染物主要来自机动车尾气，主要污染物是NO</w:t>
            </w:r>
            <w:r>
              <w:rPr>
                <w:rFonts w:hint="eastAsia" w:ascii="Times New Roman" w:hAnsi="Times New Roman" w:cs="Times New Roman"/>
                <w:color w:val="auto"/>
                <w:kern w:val="2"/>
                <w:sz w:val="24"/>
                <w:szCs w:val="24"/>
                <w:highlight w:val="none"/>
              </w:rPr>
              <w:t>×</w:t>
            </w:r>
            <w:r>
              <w:rPr>
                <w:rFonts w:ascii="Times New Roman" w:hAnsi="Times New Roman" w:cs="Times New Roman"/>
                <w:color w:val="auto"/>
                <w:kern w:val="2"/>
                <w:sz w:val="24"/>
                <w:szCs w:val="24"/>
                <w:highlight w:val="none"/>
              </w:rPr>
              <w:t>、CO、THC。机动车排放的气态污染源强按下式计算：</w:t>
            </w:r>
          </w:p>
          <w:p>
            <w:pPr>
              <w:pStyle w:val="29"/>
              <w:spacing w:after="0" w:line="400" w:lineRule="atLeast"/>
              <w:jc w:val="center"/>
              <w:rPr>
                <w:rFonts w:ascii="Times New Roman" w:hAnsi="Times New Roman" w:cs="Times New Roman"/>
                <w:color w:val="auto"/>
                <w:highlight w:val="none"/>
              </w:rPr>
            </w:pPr>
            <w:r>
              <w:rPr>
                <w:rFonts w:ascii="Times New Roman" w:hAnsi="Times New Roman" w:cs="Times New Roman"/>
                <w:color w:val="auto"/>
                <w:highlight w:val="none"/>
              </w:rPr>
              <w:object>
                <v:shape id="_x0000_i1025" o:spt="75" type="#_x0000_t75" style="height:48.65pt;width:64.65pt;" o:ole="t" filled="f" o:preferrelative="t" stroked="f" coordsize="21600,21600">
                  <v:path/>
                  <v:fill on="f" focussize="0,0"/>
                  <v:stroke on="f" joinstyle="miter"/>
                  <v:imagedata r:id="rId28" o:title=""/>
                  <o:lock v:ext="edit" aspectratio="t"/>
                  <w10:wrap type="none"/>
                  <w10:anchorlock/>
                </v:shape>
                <o:OLEObject Type="Embed" ProgID="Equations" ShapeID="_x0000_i1025" DrawAspect="Content" ObjectID="_1468075725" r:id="rId27">
                  <o:LockedField>false</o:LockedField>
                </o:OLEObject>
              </w:object>
            </w:r>
          </w:p>
          <w:p>
            <w:pPr>
              <w:pStyle w:val="29"/>
              <w:spacing w:after="0" w:line="400" w:lineRule="atLeast"/>
              <w:ind w:firstLine="420" w:firstLineChars="200"/>
              <w:jc w:val="both"/>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式中：Qj——行驶汽车在一定车速下排放的j种污染源源强，mg/(m·s)</w:t>
            </w:r>
          </w:p>
          <w:p>
            <w:pPr>
              <w:pStyle w:val="29"/>
              <w:spacing w:after="0" w:line="400" w:lineRule="atLeast"/>
              <w:ind w:firstLine="1050" w:firstLineChars="500"/>
              <w:jc w:val="both"/>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Ai—i型车的单位时间交通量，辆/h；</w:t>
            </w:r>
          </w:p>
          <w:p>
            <w:pPr>
              <w:pStyle w:val="29"/>
              <w:spacing w:after="0" w:line="400" w:lineRule="atLeast"/>
              <w:ind w:firstLine="1050" w:firstLineChars="500"/>
              <w:jc w:val="both"/>
              <w:rPr>
                <w:rFonts w:ascii="Times New Roman" w:hAnsi="Times New Roman" w:cs="Times New Roman"/>
                <w:color w:val="auto"/>
                <w:kern w:val="2"/>
                <w:sz w:val="21"/>
                <w:szCs w:val="21"/>
                <w:highlight w:val="none"/>
              </w:rPr>
            </w:pPr>
            <w:r>
              <w:rPr>
                <w:rFonts w:ascii="Times New Roman" w:hAnsi="Times New Roman" w:cs="Times New Roman"/>
                <w:color w:val="auto"/>
                <w:kern w:val="2"/>
                <w:sz w:val="21"/>
                <w:szCs w:val="21"/>
                <w:highlight w:val="none"/>
              </w:rPr>
              <w:t>Eij——汽车专用公路运行工况下i型车j种</w:t>
            </w:r>
            <w:r>
              <w:rPr>
                <w:rFonts w:hint="eastAsia" w:ascii="Times New Roman" w:hAnsi="Times New Roman" w:cs="Times New Roman"/>
                <w:color w:val="auto"/>
                <w:kern w:val="2"/>
                <w:sz w:val="21"/>
                <w:szCs w:val="21"/>
                <w:highlight w:val="none"/>
              </w:rPr>
              <w:t>污染物</w:t>
            </w:r>
            <w:r>
              <w:rPr>
                <w:rFonts w:ascii="Times New Roman" w:hAnsi="Times New Roman" w:cs="Times New Roman"/>
                <w:color w:val="auto"/>
                <w:kern w:val="2"/>
                <w:sz w:val="21"/>
                <w:szCs w:val="21"/>
                <w:highlight w:val="none"/>
              </w:rPr>
              <w:t>量在预测年的单车排放因子，mg/(辆·m)。</w:t>
            </w:r>
          </w:p>
          <w:p>
            <w:pPr>
              <w:pStyle w:val="29"/>
              <w:spacing w:after="0" w:line="360" w:lineRule="auto"/>
              <w:ind w:firstLine="480" w:firstLineChars="200"/>
              <w:jc w:val="both"/>
              <w:rPr>
                <w:rFonts w:ascii="Times New Roman" w:hAnsi="Times New Roman" w:cs="Times New Roman"/>
                <w:color w:val="auto"/>
                <w:kern w:val="2"/>
                <w:sz w:val="24"/>
                <w:szCs w:val="24"/>
                <w:highlight w:val="none"/>
              </w:rPr>
            </w:pPr>
            <w:r>
              <w:rPr>
                <w:rFonts w:ascii="Times New Roman" w:hAnsi="Times New Roman" w:cs="Times New Roman"/>
                <w:color w:val="auto"/>
                <w:kern w:val="2"/>
                <w:sz w:val="24"/>
                <w:szCs w:val="24"/>
                <w:highlight w:val="none"/>
              </w:rPr>
              <w:t>本项目拟采用《环保部公告[2014]</w:t>
            </w:r>
            <w:r>
              <w:rPr>
                <w:rFonts w:hint="eastAsia" w:ascii="Times New Roman" w:hAnsi="Times New Roman" w:cs="Times New Roman"/>
                <w:color w:val="auto"/>
                <w:kern w:val="2"/>
                <w:sz w:val="24"/>
                <w:szCs w:val="24"/>
                <w:highlight w:val="none"/>
              </w:rPr>
              <w:t xml:space="preserve"> </w:t>
            </w:r>
            <w:r>
              <w:rPr>
                <w:rFonts w:ascii="Times New Roman" w:hAnsi="Times New Roman" w:cs="Times New Roman"/>
                <w:color w:val="auto"/>
                <w:kern w:val="2"/>
                <w:sz w:val="24"/>
                <w:szCs w:val="24"/>
                <w:highlight w:val="none"/>
              </w:rPr>
              <w:t>92号附件3道路机动车排放清单编制技术指南（试行）》推荐的单车排放因子参数作为本次评价CO、THC、NO</w:t>
            </w:r>
            <w:r>
              <w:rPr>
                <w:rFonts w:ascii="Times New Roman" w:hAnsi="Times New Roman" w:cs="Times New Roman"/>
                <w:color w:val="auto"/>
                <w:kern w:val="2"/>
                <w:sz w:val="24"/>
                <w:szCs w:val="24"/>
                <w:highlight w:val="none"/>
                <w:vertAlign w:val="subscript"/>
              </w:rPr>
              <w:t>2</w:t>
            </w:r>
            <w:r>
              <w:rPr>
                <w:rFonts w:ascii="Times New Roman" w:hAnsi="Times New Roman" w:cs="Times New Roman"/>
                <w:color w:val="auto"/>
                <w:kern w:val="2"/>
                <w:sz w:val="24"/>
                <w:szCs w:val="24"/>
                <w:highlight w:val="none"/>
              </w:rPr>
              <w:t>的单车排放因子产污系数。</w:t>
            </w:r>
          </w:p>
          <w:p>
            <w:pPr>
              <w:pStyle w:val="29"/>
              <w:spacing w:after="0" w:line="400" w:lineRule="atLeast"/>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表4</w:t>
            </w:r>
            <w:r>
              <w:rPr>
                <w:rFonts w:hint="eastAsia" w:ascii="Times New Roman" w:hAnsi="Times New Roman" w:cs="Times New Roman"/>
                <w:b/>
                <w:bCs/>
                <w:color w:val="auto"/>
                <w:sz w:val="21"/>
                <w:szCs w:val="21"/>
                <w:highlight w:val="none"/>
              </w:rPr>
              <w:t>-3</w:t>
            </w:r>
            <w:r>
              <w:rPr>
                <w:rFonts w:ascii="Times New Roman" w:hAnsi="Times New Roman" w:cs="Times New Roman"/>
                <w:b/>
                <w:bCs/>
                <w:color w:val="auto"/>
                <w:sz w:val="21"/>
                <w:szCs w:val="21"/>
                <w:highlight w:val="none"/>
              </w:rPr>
              <w:t>不同车型产污系数</w:t>
            </w:r>
            <w:r>
              <w:rPr>
                <w:rFonts w:hint="eastAsia" w:ascii="Times New Roman" w:hAnsi="Times New Roman" w:cs="Times New Roman"/>
                <w:b/>
                <w:bCs/>
                <w:color w:val="auto"/>
                <w:sz w:val="21"/>
                <w:szCs w:val="21"/>
                <w:highlight w:val="none"/>
              </w:rPr>
              <w:t>(g/km)</w:t>
            </w:r>
          </w:p>
          <w:tbl>
            <w:tblPr>
              <w:tblStyle w:val="18"/>
              <w:tblW w:w="813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650"/>
              <w:gridCol w:w="1171"/>
              <w:gridCol w:w="1147"/>
              <w:gridCol w:w="1145"/>
              <w:gridCol w:w="1131"/>
              <w:gridCol w:w="9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570" w:type="pct"/>
                  <w:gridSpan w:val="2"/>
                  <w:vAlign w:val="center"/>
                </w:tcPr>
                <w:p>
                  <w:pPr>
                    <w:autoSpaceDN w:val="0"/>
                    <w:jc w:val="center"/>
                    <w:textAlignment w:val="baseline"/>
                    <w:rPr>
                      <w:b/>
                      <w:bCs/>
                      <w:color w:val="auto"/>
                      <w:highlight w:val="none"/>
                    </w:rPr>
                  </w:pPr>
                  <w:r>
                    <w:rPr>
                      <w:b/>
                      <w:bCs/>
                      <w:color w:val="auto"/>
                      <w:highlight w:val="none"/>
                    </w:rPr>
                    <w:t>平均车速</w:t>
                  </w:r>
                  <w:r>
                    <w:rPr>
                      <w:rFonts w:hint="eastAsia"/>
                      <w:b/>
                      <w:bCs/>
                      <w:color w:val="auto"/>
                      <w:highlight w:val="none"/>
                    </w:rPr>
                    <w:t>（km/h）</w:t>
                  </w:r>
                </w:p>
              </w:tc>
              <w:tc>
                <w:tcPr>
                  <w:tcW w:w="719" w:type="pct"/>
                  <w:vAlign w:val="center"/>
                </w:tcPr>
                <w:p>
                  <w:pPr>
                    <w:autoSpaceDN w:val="0"/>
                    <w:jc w:val="center"/>
                    <w:textAlignment w:val="baseline"/>
                    <w:rPr>
                      <w:b/>
                      <w:bCs/>
                      <w:color w:val="auto"/>
                      <w:highlight w:val="none"/>
                    </w:rPr>
                  </w:pPr>
                  <w:r>
                    <w:rPr>
                      <w:b/>
                      <w:bCs/>
                      <w:color w:val="auto"/>
                      <w:highlight w:val="none"/>
                    </w:rPr>
                    <w:t>&lt;20</w:t>
                  </w:r>
                </w:p>
              </w:tc>
              <w:tc>
                <w:tcPr>
                  <w:tcW w:w="704" w:type="pct"/>
                  <w:vAlign w:val="center"/>
                </w:tcPr>
                <w:p>
                  <w:pPr>
                    <w:autoSpaceDN w:val="0"/>
                    <w:jc w:val="center"/>
                    <w:textAlignment w:val="baseline"/>
                    <w:rPr>
                      <w:b/>
                      <w:bCs/>
                      <w:color w:val="auto"/>
                      <w:highlight w:val="none"/>
                    </w:rPr>
                  </w:pPr>
                  <w:r>
                    <w:rPr>
                      <w:b/>
                      <w:bCs/>
                      <w:color w:val="auto"/>
                      <w:highlight w:val="none"/>
                    </w:rPr>
                    <w:t>20-30</w:t>
                  </w:r>
                </w:p>
              </w:tc>
              <w:tc>
                <w:tcPr>
                  <w:tcW w:w="703" w:type="pct"/>
                  <w:vAlign w:val="center"/>
                </w:tcPr>
                <w:p>
                  <w:pPr>
                    <w:autoSpaceDN w:val="0"/>
                    <w:jc w:val="center"/>
                    <w:textAlignment w:val="baseline"/>
                    <w:rPr>
                      <w:b/>
                      <w:bCs/>
                      <w:color w:val="auto"/>
                      <w:highlight w:val="none"/>
                    </w:rPr>
                  </w:pPr>
                  <w:r>
                    <w:rPr>
                      <w:b/>
                      <w:bCs/>
                      <w:color w:val="auto"/>
                      <w:highlight w:val="none"/>
                    </w:rPr>
                    <w:t>30-40</w:t>
                  </w:r>
                </w:p>
              </w:tc>
              <w:tc>
                <w:tcPr>
                  <w:tcW w:w="694" w:type="pct"/>
                  <w:vAlign w:val="center"/>
                </w:tcPr>
                <w:p>
                  <w:pPr>
                    <w:autoSpaceDN w:val="0"/>
                    <w:jc w:val="center"/>
                    <w:textAlignment w:val="baseline"/>
                    <w:rPr>
                      <w:b/>
                      <w:bCs/>
                      <w:color w:val="auto"/>
                      <w:highlight w:val="none"/>
                    </w:rPr>
                  </w:pPr>
                  <w:r>
                    <w:rPr>
                      <w:b/>
                      <w:bCs/>
                      <w:color w:val="auto"/>
                      <w:highlight w:val="none"/>
                    </w:rPr>
                    <w:t>40-80</w:t>
                  </w:r>
                </w:p>
              </w:tc>
              <w:tc>
                <w:tcPr>
                  <w:tcW w:w="606" w:type="pct"/>
                  <w:vAlign w:val="center"/>
                </w:tcPr>
                <w:p>
                  <w:pPr>
                    <w:autoSpaceDN w:val="0"/>
                    <w:jc w:val="center"/>
                    <w:textAlignment w:val="baseline"/>
                    <w:rPr>
                      <w:b/>
                      <w:bCs/>
                      <w:color w:val="auto"/>
                      <w:highlight w:val="none"/>
                    </w:rPr>
                  </w:pPr>
                  <w:r>
                    <w:rPr>
                      <w:b/>
                      <w:bCs/>
                      <w:color w:val="auto"/>
                      <w:highlight w:val="none"/>
                    </w:rPr>
                    <w:t>&gt;80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57" w:type="pct"/>
                  <w:vMerge w:val="restart"/>
                  <w:vAlign w:val="center"/>
                </w:tcPr>
                <w:p>
                  <w:pPr>
                    <w:autoSpaceDN w:val="0"/>
                    <w:jc w:val="center"/>
                    <w:textAlignment w:val="baseline"/>
                    <w:rPr>
                      <w:color w:val="auto"/>
                      <w:highlight w:val="none"/>
                    </w:rPr>
                  </w:pPr>
                  <w:r>
                    <w:rPr>
                      <w:color w:val="auto"/>
                      <w:highlight w:val="none"/>
                    </w:rPr>
                    <w:t>小型车</w:t>
                  </w:r>
                </w:p>
              </w:tc>
              <w:tc>
                <w:tcPr>
                  <w:tcW w:w="1013" w:type="pct"/>
                  <w:vAlign w:val="center"/>
                </w:tcPr>
                <w:p>
                  <w:pPr>
                    <w:autoSpaceDN w:val="0"/>
                    <w:jc w:val="center"/>
                    <w:textAlignment w:val="baseline"/>
                    <w:rPr>
                      <w:color w:val="auto"/>
                      <w:highlight w:val="none"/>
                    </w:rPr>
                  </w:pPr>
                  <w:r>
                    <w:rPr>
                      <w:color w:val="auto"/>
                      <w:highlight w:val="none"/>
                    </w:rPr>
                    <w:t>CO</w:t>
                  </w:r>
                </w:p>
              </w:tc>
              <w:tc>
                <w:tcPr>
                  <w:tcW w:w="719" w:type="pct"/>
                  <w:vAlign w:val="center"/>
                </w:tcPr>
                <w:p>
                  <w:pPr>
                    <w:autoSpaceDN w:val="0"/>
                    <w:jc w:val="center"/>
                    <w:textAlignment w:val="baseline"/>
                    <w:rPr>
                      <w:color w:val="auto"/>
                      <w:highlight w:val="none"/>
                    </w:rPr>
                  </w:pPr>
                  <w:r>
                    <w:rPr>
                      <w:color w:val="auto"/>
                      <w:highlight w:val="none"/>
                    </w:rPr>
                    <w:t>2.39</w:t>
                  </w:r>
                </w:p>
              </w:tc>
              <w:tc>
                <w:tcPr>
                  <w:tcW w:w="704" w:type="pct"/>
                  <w:vAlign w:val="center"/>
                </w:tcPr>
                <w:p>
                  <w:pPr>
                    <w:autoSpaceDN w:val="0"/>
                    <w:jc w:val="center"/>
                    <w:textAlignment w:val="baseline"/>
                    <w:rPr>
                      <w:color w:val="auto"/>
                      <w:highlight w:val="none"/>
                    </w:rPr>
                  </w:pPr>
                  <w:r>
                    <w:rPr>
                      <w:color w:val="auto"/>
                      <w:highlight w:val="none"/>
                    </w:rPr>
                    <w:t>1.78</w:t>
                  </w:r>
                </w:p>
              </w:tc>
              <w:tc>
                <w:tcPr>
                  <w:tcW w:w="703" w:type="pct"/>
                  <w:vAlign w:val="center"/>
                </w:tcPr>
                <w:p>
                  <w:pPr>
                    <w:autoSpaceDN w:val="0"/>
                    <w:jc w:val="center"/>
                    <w:textAlignment w:val="baseline"/>
                    <w:rPr>
                      <w:color w:val="auto"/>
                      <w:highlight w:val="none"/>
                    </w:rPr>
                  </w:pPr>
                  <w:r>
                    <w:rPr>
                      <w:color w:val="auto"/>
                      <w:highlight w:val="none"/>
                    </w:rPr>
                    <w:t>1.12</w:t>
                  </w:r>
                </w:p>
              </w:tc>
              <w:tc>
                <w:tcPr>
                  <w:tcW w:w="694" w:type="pct"/>
                  <w:vAlign w:val="center"/>
                </w:tcPr>
                <w:p>
                  <w:pPr>
                    <w:autoSpaceDN w:val="0"/>
                    <w:jc w:val="center"/>
                    <w:textAlignment w:val="baseline"/>
                    <w:rPr>
                      <w:color w:val="auto"/>
                      <w:highlight w:val="none"/>
                    </w:rPr>
                  </w:pPr>
                  <w:r>
                    <w:rPr>
                      <w:color w:val="auto"/>
                      <w:highlight w:val="none"/>
                    </w:rPr>
                    <w:t>0.55</w:t>
                  </w:r>
                </w:p>
              </w:tc>
              <w:tc>
                <w:tcPr>
                  <w:tcW w:w="606" w:type="pct"/>
                  <w:vAlign w:val="center"/>
                </w:tcPr>
                <w:p>
                  <w:pPr>
                    <w:autoSpaceDN w:val="0"/>
                    <w:jc w:val="center"/>
                    <w:textAlignment w:val="baseline"/>
                    <w:rPr>
                      <w:color w:val="auto"/>
                      <w:highlight w:val="none"/>
                    </w:rPr>
                  </w:pPr>
                  <w:r>
                    <w:rPr>
                      <w:color w:val="auto"/>
                      <w:highlight w:val="none"/>
                    </w:rPr>
                    <w:t>0.88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57" w:type="pct"/>
                  <w:vMerge w:val="continue"/>
                  <w:vAlign w:val="center"/>
                </w:tcPr>
                <w:p>
                  <w:pPr>
                    <w:autoSpaceDN w:val="0"/>
                    <w:jc w:val="center"/>
                    <w:textAlignment w:val="baseline"/>
                    <w:rPr>
                      <w:color w:val="auto"/>
                      <w:highlight w:val="none"/>
                    </w:rPr>
                  </w:pPr>
                </w:p>
              </w:tc>
              <w:tc>
                <w:tcPr>
                  <w:tcW w:w="1013" w:type="pct"/>
                  <w:vAlign w:val="center"/>
                </w:tcPr>
                <w:p>
                  <w:pPr>
                    <w:autoSpaceDN w:val="0"/>
                    <w:jc w:val="center"/>
                    <w:textAlignment w:val="baseline"/>
                    <w:rPr>
                      <w:color w:val="auto"/>
                      <w:highlight w:val="none"/>
                    </w:rPr>
                  </w:pPr>
                  <w:r>
                    <w:rPr>
                      <w:color w:val="auto"/>
                      <w:highlight w:val="none"/>
                    </w:rPr>
                    <w:t>THC</w:t>
                  </w:r>
                </w:p>
              </w:tc>
              <w:tc>
                <w:tcPr>
                  <w:tcW w:w="719" w:type="pct"/>
                  <w:vAlign w:val="center"/>
                </w:tcPr>
                <w:p>
                  <w:pPr>
                    <w:autoSpaceDN w:val="0"/>
                    <w:jc w:val="center"/>
                    <w:textAlignment w:val="baseline"/>
                    <w:rPr>
                      <w:color w:val="auto"/>
                      <w:highlight w:val="none"/>
                    </w:rPr>
                  </w:pPr>
                  <w:r>
                    <w:rPr>
                      <w:color w:val="auto"/>
                      <w:highlight w:val="none"/>
                    </w:rPr>
                    <w:t>0.19</w:t>
                  </w:r>
                </w:p>
              </w:tc>
              <w:tc>
                <w:tcPr>
                  <w:tcW w:w="704" w:type="pct"/>
                  <w:vAlign w:val="center"/>
                </w:tcPr>
                <w:p>
                  <w:pPr>
                    <w:autoSpaceDN w:val="0"/>
                    <w:jc w:val="center"/>
                    <w:textAlignment w:val="baseline"/>
                    <w:rPr>
                      <w:color w:val="auto"/>
                      <w:highlight w:val="none"/>
                    </w:rPr>
                  </w:pPr>
                  <w:r>
                    <w:rPr>
                      <w:color w:val="auto"/>
                      <w:highlight w:val="none"/>
                    </w:rPr>
                    <w:t>0.014</w:t>
                  </w:r>
                </w:p>
              </w:tc>
              <w:tc>
                <w:tcPr>
                  <w:tcW w:w="703" w:type="pct"/>
                  <w:vAlign w:val="center"/>
                </w:tcPr>
                <w:p>
                  <w:pPr>
                    <w:autoSpaceDN w:val="0"/>
                    <w:jc w:val="center"/>
                    <w:textAlignment w:val="baseline"/>
                    <w:rPr>
                      <w:color w:val="auto"/>
                      <w:highlight w:val="none"/>
                    </w:rPr>
                  </w:pPr>
                  <w:r>
                    <w:rPr>
                      <w:color w:val="auto"/>
                      <w:highlight w:val="none"/>
                    </w:rPr>
                    <w:t>0.09</w:t>
                  </w:r>
                </w:p>
              </w:tc>
              <w:tc>
                <w:tcPr>
                  <w:tcW w:w="694" w:type="pct"/>
                  <w:vAlign w:val="center"/>
                </w:tcPr>
                <w:p>
                  <w:pPr>
                    <w:autoSpaceDN w:val="0"/>
                    <w:jc w:val="center"/>
                    <w:textAlignment w:val="baseline"/>
                    <w:rPr>
                      <w:color w:val="auto"/>
                      <w:highlight w:val="none"/>
                    </w:rPr>
                  </w:pPr>
                  <w:r>
                    <w:rPr>
                      <w:color w:val="auto"/>
                      <w:highlight w:val="none"/>
                    </w:rPr>
                    <w:t>0.036</w:t>
                  </w:r>
                </w:p>
              </w:tc>
              <w:tc>
                <w:tcPr>
                  <w:tcW w:w="606" w:type="pct"/>
                  <w:vAlign w:val="center"/>
                </w:tcPr>
                <w:p>
                  <w:pPr>
                    <w:autoSpaceDN w:val="0"/>
                    <w:jc w:val="center"/>
                    <w:textAlignment w:val="baseline"/>
                    <w:rPr>
                      <w:color w:val="auto"/>
                      <w:highlight w:val="none"/>
                    </w:rPr>
                  </w:pPr>
                  <w:r>
                    <w:rPr>
                      <w:color w:val="auto"/>
                      <w:highlight w:val="none"/>
                    </w:rPr>
                    <w:t>0.066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57" w:type="pct"/>
                  <w:vMerge w:val="continue"/>
                  <w:vAlign w:val="center"/>
                </w:tcPr>
                <w:p>
                  <w:pPr>
                    <w:autoSpaceDN w:val="0"/>
                    <w:jc w:val="center"/>
                    <w:textAlignment w:val="baseline"/>
                    <w:rPr>
                      <w:color w:val="auto"/>
                      <w:highlight w:val="none"/>
                    </w:rPr>
                  </w:pPr>
                </w:p>
              </w:tc>
              <w:tc>
                <w:tcPr>
                  <w:tcW w:w="1013" w:type="pct"/>
                  <w:vAlign w:val="center"/>
                </w:tcPr>
                <w:p>
                  <w:pPr>
                    <w:autoSpaceDN w:val="0"/>
                    <w:jc w:val="center"/>
                    <w:textAlignment w:val="baseline"/>
                    <w:rPr>
                      <w:color w:val="auto"/>
                      <w:highlight w:val="none"/>
                    </w:rPr>
                  </w:pPr>
                  <w:r>
                    <w:rPr>
                      <w:color w:val="auto"/>
                      <w:highlight w:val="none"/>
                    </w:rPr>
                    <w:t>NO</w:t>
                  </w:r>
                  <w:r>
                    <w:rPr>
                      <w:color w:val="auto"/>
                      <w:highlight w:val="none"/>
                      <w:vertAlign w:val="subscript"/>
                    </w:rPr>
                    <w:t>2</w:t>
                  </w:r>
                </w:p>
              </w:tc>
              <w:tc>
                <w:tcPr>
                  <w:tcW w:w="719" w:type="pct"/>
                  <w:vAlign w:val="center"/>
                </w:tcPr>
                <w:p>
                  <w:pPr>
                    <w:autoSpaceDN w:val="0"/>
                    <w:jc w:val="center"/>
                    <w:textAlignment w:val="baseline"/>
                    <w:rPr>
                      <w:color w:val="auto"/>
                      <w:highlight w:val="none"/>
                    </w:rPr>
                  </w:pPr>
                  <w:r>
                    <w:rPr>
                      <w:color w:val="auto"/>
                      <w:highlight w:val="none"/>
                    </w:rPr>
                    <w:t>0.13</w:t>
                  </w:r>
                </w:p>
              </w:tc>
              <w:tc>
                <w:tcPr>
                  <w:tcW w:w="704" w:type="pct"/>
                  <w:vAlign w:val="center"/>
                </w:tcPr>
                <w:p>
                  <w:pPr>
                    <w:autoSpaceDN w:val="0"/>
                    <w:jc w:val="center"/>
                    <w:textAlignment w:val="baseline"/>
                    <w:rPr>
                      <w:color w:val="auto"/>
                      <w:highlight w:val="none"/>
                    </w:rPr>
                  </w:pPr>
                  <w:r>
                    <w:rPr>
                      <w:color w:val="auto"/>
                      <w:highlight w:val="none"/>
                    </w:rPr>
                    <w:t>0.11</w:t>
                  </w:r>
                </w:p>
              </w:tc>
              <w:tc>
                <w:tcPr>
                  <w:tcW w:w="703" w:type="pct"/>
                  <w:vAlign w:val="center"/>
                </w:tcPr>
                <w:p>
                  <w:pPr>
                    <w:autoSpaceDN w:val="0"/>
                    <w:jc w:val="center"/>
                    <w:textAlignment w:val="baseline"/>
                    <w:rPr>
                      <w:color w:val="auto"/>
                      <w:highlight w:val="none"/>
                    </w:rPr>
                  </w:pPr>
                  <w:r>
                    <w:rPr>
                      <w:color w:val="auto"/>
                      <w:highlight w:val="none"/>
                    </w:rPr>
                    <w:t>0.09</w:t>
                  </w:r>
                </w:p>
              </w:tc>
              <w:tc>
                <w:tcPr>
                  <w:tcW w:w="694" w:type="pct"/>
                  <w:vAlign w:val="center"/>
                </w:tcPr>
                <w:p>
                  <w:pPr>
                    <w:autoSpaceDN w:val="0"/>
                    <w:jc w:val="center"/>
                    <w:textAlignment w:val="baseline"/>
                    <w:rPr>
                      <w:color w:val="auto"/>
                      <w:highlight w:val="none"/>
                    </w:rPr>
                  </w:pPr>
                  <w:r>
                    <w:rPr>
                      <w:color w:val="auto"/>
                      <w:highlight w:val="none"/>
                    </w:rPr>
                    <w:t>0.08</w:t>
                  </w:r>
                </w:p>
              </w:tc>
              <w:tc>
                <w:tcPr>
                  <w:tcW w:w="606" w:type="pct"/>
                  <w:vAlign w:val="center"/>
                </w:tcPr>
                <w:p>
                  <w:pPr>
                    <w:autoSpaceDN w:val="0"/>
                    <w:jc w:val="center"/>
                    <w:textAlignment w:val="baseline"/>
                    <w:rPr>
                      <w:color w:val="auto"/>
                      <w:highlight w:val="none"/>
                    </w:rPr>
                  </w:pPr>
                  <w:r>
                    <w:rPr>
                      <w:color w:val="auto"/>
                      <w:highlight w:val="none"/>
                    </w:rPr>
                    <w:t>0.09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57" w:type="pct"/>
                  <w:vMerge w:val="restart"/>
                  <w:vAlign w:val="center"/>
                </w:tcPr>
                <w:p>
                  <w:pPr>
                    <w:autoSpaceDN w:val="0"/>
                    <w:jc w:val="center"/>
                    <w:textAlignment w:val="baseline"/>
                    <w:rPr>
                      <w:color w:val="auto"/>
                      <w:highlight w:val="none"/>
                    </w:rPr>
                  </w:pPr>
                  <w:r>
                    <w:rPr>
                      <w:color w:val="auto"/>
                      <w:highlight w:val="none"/>
                    </w:rPr>
                    <w:t>中型车</w:t>
                  </w:r>
                </w:p>
              </w:tc>
              <w:tc>
                <w:tcPr>
                  <w:tcW w:w="1013" w:type="pct"/>
                  <w:vAlign w:val="center"/>
                </w:tcPr>
                <w:p>
                  <w:pPr>
                    <w:autoSpaceDN w:val="0"/>
                    <w:jc w:val="center"/>
                    <w:textAlignment w:val="baseline"/>
                    <w:rPr>
                      <w:color w:val="auto"/>
                      <w:highlight w:val="none"/>
                    </w:rPr>
                  </w:pPr>
                  <w:r>
                    <w:rPr>
                      <w:color w:val="auto"/>
                      <w:highlight w:val="none"/>
                    </w:rPr>
                    <w:t>CO</w:t>
                  </w:r>
                </w:p>
              </w:tc>
              <w:tc>
                <w:tcPr>
                  <w:tcW w:w="719" w:type="pct"/>
                  <w:vAlign w:val="center"/>
                </w:tcPr>
                <w:p>
                  <w:pPr>
                    <w:autoSpaceDN w:val="0"/>
                    <w:jc w:val="center"/>
                    <w:textAlignment w:val="baseline"/>
                    <w:rPr>
                      <w:color w:val="auto"/>
                      <w:highlight w:val="none"/>
                    </w:rPr>
                  </w:pPr>
                  <w:r>
                    <w:rPr>
                      <w:color w:val="auto"/>
                      <w:highlight w:val="none"/>
                    </w:rPr>
                    <w:t>5.48</w:t>
                  </w:r>
                </w:p>
              </w:tc>
              <w:tc>
                <w:tcPr>
                  <w:tcW w:w="704" w:type="pct"/>
                  <w:vAlign w:val="center"/>
                </w:tcPr>
                <w:p>
                  <w:pPr>
                    <w:autoSpaceDN w:val="0"/>
                    <w:jc w:val="center"/>
                    <w:textAlignment w:val="baseline"/>
                    <w:rPr>
                      <w:color w:val="auto"/>
                      <w:highlight w:val="none"/>
                    </w:rPr>
                  </w:pPr>
                  <w:r>
                    <w:rPr>
                      <w:color w:val="auto"/>
                      <w:highlight w:val="none"/>
                    </w:rPr>
                    <w:t>4.08</w:t>
                  </w:r>
                </w:p>
              </w:tc>
              <w:tc>
                <w:tcPr>
                  <w:tcW w:w="703" w:type="pct"/>
                  <w:vAlign w:val="center"/>
                </w:tcPr>
                <w:p>
                  <w:pPr>
                    <w:autoSpaceDN w:val="0"/>
                    <w:jc w:val="center"/>
                    <w:textAlignment w:val="baseline"/>
                    <w:rPr>
                      <w:color w:val="auto"/>
                      <w:highlight w:val="none"/>
                    </w:rPr>
                  </w:pPr>
                  <w:r>
                    <w:rPr>
                      <w:color w:val="auto"/>
                      <w:highlight w:val="none"/>
                    </w:rPr>
                    <w:t>2.56</w:t>
                  </w:r>
                </w:p>
              </w:tc>
              <w:tc>
                <w:tcPr>
                  <w:tcW w:w="694" w:type="pct"/>
                  <w:vAlign w:val="center"/>
                </w:tcPr>
                <w:p>
                  <w:pPr>
                    <w:autoSpaceDN w:val="0"/>
                    <w:jc w:val="center"/>
                    <w:textAlignment w:val="baseline"/>
                    <w:rPr>
                      <w:color w:val="auto"/>
                      <w:highlight w:val="none"/>
                    </w:rPr>
                  </w:pPr>
                  <w:r>
                    <w:rPr>
                      <w:color w:val="auto"/>
                      <w:highlight w:val="none"/>
                    </w:rPr>
                    <w:t>1.26</w:t>
                  </w:r>
                </w:p>
              </w:tc>
              <w:tc>
                <w:tcPr>
                  <w:tcW w:w="606" w:type="pct"/>
                  <w:vAlign w:val="center"/>
                </w:tcPr>
                <w:p>
                  <w:pPr>
                    <w:autoSpaceDN w:val="0"/>
                    <w:jc w:val="center"/>
                    <w:textAlignment w:val="baseline"/>
                    <w:rPr>
                      <w:color w:val="auto"/>
                      <w:highlight w:val="none"/>
                    </w:rPr>
                  </w:pPr>
                  <w:r>
                    <w:rPr>
                      <w:color w:val="auto"/>
                      <w:highlight w:val="none"/>
                    </w:rPr>
                    <w:t>2.01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57" w:type="pct"/>
                  <w:vMerge w:val="continue"/>
                  <w:vAlign w:val="center"/>
                </w:tcPr>
                <w:p>
                  <w:pPr>
                    <w:autoSpaceDN w:val="0"/>
                    <w:jc w:val="center"/>
                    <w:textAlignment w:val="baseline"/>
                    <w:rPr>
                      <w:color w:val="auto"/>
                      <w:highlight w:val="none"/>
                    </w:rPr>
                  </w:pPr>
                </w:p>
              </w:tc>
              <w:tc>
                <w:tcPr>
                  <w:tcW w:w="1013" w:type="pct"/>
                  <w:vAlign w:val="center"/>
                </w:tcPr>
                <w:p>
                  <w:pPr>
                    <w:autoSpaceDN w:val="0"/>
                    <w:jc w:val="center"/>
                    <w:textAlignment w:val="baseline"/>
                    <w:rPr>
                      <w:color w:val="auto"/>
                      <w:highlight w:val="none"/>
                    </w:rPr>
                  </w:pPr>
                  <w:r>
                    <w:rPr>
                      <w:color w:val="auto"/>
                      <w:highlight w:val="none"/>
                    </w:rPr>
                    <w:t>THC</w:t>
                  </w:r>
                </w:p>
              </w:tc>
              <w:tc>
                <w:tcPr>
                  <w:tcW w:w="719" w:type="pct"/>
                  <w:vAlign w:val="center"/>
                </w:tcPr>
                <w:p>
                  <w:pPr>
                    <w:autoSpaceDN w:val="0"/>
                    <w:jc w:val="center"/>
                    <w:textAlignment w:val="baseline"/>
                    <w:rPr>
                      <w:color w:val="auto"/>
                      <w:highlight w:val="none"/>
                    </w:rPr>
                  </w:pPr>
                  <w:r>
                    <w:rPr>
                      <w:color w:val="auto"/>
                      <w:highlight w:val="none"/>
                    </w:rPr>
                    <w:t>0.57</w:t>
                  </w:r>
                </w:p>
              </w:tc>
              <w:tc>
                <w:tcPr>
                  <w:tcW w:w="704" w:type="pct"/>
                  <w:vAlign w:val="center"/>
                </w:tcPr>
                <w:p>
                  <w:pPr>
                    <w:autoSpaceDN w:val="0"/>
                    <w:jc w:val="center"/>
                    <w:textAlignment w:val="baseline"/>
                    <w:rPr>
                      <w:color w:val="auto"/>
                      <w:highlight w:val="none"/>
                    </w:rPr>
                  </w:pPr>
                  <w:r>
                    <w:rPr>
                      <w:color w:val="auto"/>
                      <w:highlight w:val="none"/>
                    </w:rPr>
                    <w:t>0.43</w:t>
                  </w:r>
                </w:p>
              </w:tc>
              <w:tc>
                <w:tcPr>
                  <w:tcW w:w="703" w:type="pct"/>
                  <w:vAlign w:val="center"/>
                </w:tcPr>
                <w:p>
                  <w:pPr>
                    <w:autoSpaceDN w:val="0"/>
                    <w:jc w:val="center"/>
                    <w:textAlignment w:val="baseline"/>
                    <w:rPr>
                      <w:color w:val="auto"/>
                      <w:highlight w:val="none"/>
                    </w:rPr>
                  </w:pPr>
                  <w:r>
                    <w:rPr>
                      <w:color w:val="auto"/>
                      <w:highlight w:val="none"/>
                    </w:rPr>
                    <w:t>0.27</w:t>
                  </w:r>
                </w:p>
              </w:tc>
              <w:tc>
                <w:tcPr>
                  <w:tcW w:w="694" w:type="pct"/>
                  <w:vAlign w:val="center"/>
                </w:tcPr>
                <w:p>
                  <w:pPr>
                    <w:autoSpaceDN w:val="0"/>
                    <w:jc w:val="center"/>
                    <w:textAlignment w:val="baseline"/>
                    <w:rPr>
                      <w:color w:val="auto"/>
                      <w:highlight w:val="none"/>
                    </w:rPr>
                  </w:pPr>
                  <w:r>
                    <w:rPr>
                      <w:color w:val="auto"/>
                      <w:highlight w:val="none"/>
                    </w:rPr>
                    <w:t>0.11</w:t>
                  </w:r>
                </w:p>
              </w:tc>
              <w:tc>
                <w:tcPr>
                  <w:tcW w:w="606" w:type="pct"/>
                  <w:vAlign w:val="center"/>
                </w:tcPr>
                <w:p>
                  <w:pPr>
                    <w:autoSpaceDN w:val="0"/>
                    <w:jc w:val="center"/>
                    <w:textAlignment w:val="baseline"/>
                    <w:rPr>
                      <w:color w:val="auto"/>
                      <w:highlight w:val="none"/>
                    </w:rPr>
                  </w:pPr>
                  <w:r>
                    <w:rPr>
                      <w:color w:val="auto"/>
                      <w:highlight w:val="none"/>
                    </w:rPr>
                    <w:t>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57" w:type="pct"/>
                  <w:vMerge w:val="continue"/>
                  <w:vAlign w:val="center"/>
                </w:tcPr>
                <w:p>
                  <w:pPr>
                    <w:autoSpaceDN w:val="0"/>
                    <w:jc w:val="center"/>
                    <w:textAlignment w:val="baseline"/>
                    <w:rPr>
                      <w:color w:val="auto"/>
                      <w:highlight w:val="none"/>
                    </w:rPr>
                  </w:pPr>
                </w:p>
              </w:tc>
              <w:tc>
                <w:tcPr>
                  <w:tcW w:w="1013" w:type="pct"/>
                  <w:vAlign w:val="center"/>
                </w:tcPr>
                <w:p>
                  <w:pPr>
                    <w:autoSpaceDN w:val="0"/>
                    <w:jc w:val="center"/>
                    <w:textAlignment w:val="baseline"/>
                    <w:rPr>
                      <w:color w:val="auto"/>
                      <w:highlight w:val="none"/>
                    </w:rPr>
                  </w:pPr>
                  <w:r>
                    <w:rPr>
                      <w:color w:val="auto"/>
                      <w:highlight w:val="none"/>
                    </w:rPr>
                    <w:t>NO</w:t>
                  </w:r>
                  <w:r>
                    <w:rPr>
                      <w:color w:val="auto"/>
                      <w:highlight w:val="none"/>
                      <w:vertAlign w:val="subscript"/>
                    </w:rPr>
                    <w:t>2</w:t>
                  </w:r>
                </w:p>
              </w:tc>
              <w:tc>
                <w:tcPr>
                  <w:tcW w:w="719" w:type="pct"/>
                  <w:vAlign w:val="center"/>
                </w:tcPr>
                <w:p>
                  <w:pPr>
                    <w:autoSpaceDN w:val="0"/>
                    <w:jc w:val="center"/>
                    <w:textAlignment w:val="baseline"/>
                    <w:rPr>
                      <w:color w:val="auto"/>
                      <w:highlight w:val="none"/>
                    </w:rPr>
                  </w:pPr>
                  <w:r>
                    <w:rPr>
                      <w:color w:val="auto"/>
                      <w:highlight w:val="none"/>
                    </w:rPr>
                    <w:t>0.57</w:t>
                  </w:r>
                </w:p>
              </w:tc>
              <w:tc>
                <w:tcPr>
                  <w:tcW w:w="704" w:type="pct"/>
                  <w:vAlign w:val="center"/>
                </w:tcPr>
                <w:p>
                  <w:pPr>
                    <w:autoSpaceDN w:val="0"/>
                    <w:jc w:val="center"/>
                    <w:textAlignment w:val="baseline"/>
                    <w:rPr>
                      <w:color w:val="auto"/>
                      <w:highlight w:val="none"/>
                    </w:rPr>
                  </w:pPr>
                  <w:r>
                    <w:rPr>
                      <w:color w:val="auto"/>
                      <w:highlight w:val="none"/>
                    </w:rPr>
                    <w:t>0.47</w:t>
                  </w:r>
                </w:p>
              </w:tc>
              <w:tc>
                <w:tcPr>
                  <w:tcW w:w="703" w:type="pct"/>
                  <w:vAlign w:val="center"/>
                </w:tcPr>
                <w:p>
                  <w:pPr>
                    <w:autoSpaceDN w:val="0"/>
                    <w:jc w:val="center"/>
                    <w:textAlignment w:val="baseline"/>
                    <w:rPr>
                      <w:color w:val="auto"/>
                      <w:highlight w:val="none"/>
                    </w:rPr>
                  </w:pPr>
                  <w:r>
                    <w:rPr>
                      <w:color w:val="auto"/>
                      <w:highlight w:val="none"/>
                    </w:rPr>
                    <w:t>0.37</w:t>
                  </w:r>
                </w:p>
              </w:tc>
              <w:tc>
                <w:tcPr>
                  <w:tcW w:w="694" w:type="pct"/>
                  <w:vAlign w:val="center"/>
                </w:tcPr>
                <w:p>
                  <w:pPr>
                    <w:autoSpaceDN w:val="0"/>
                    <w:jc w:val="center"/>
                    <w:textAlignment w:val="baseline"/>
                    <w:rPr>
                      <w:color w:val="auto"/>
                      <w:highlight w:val="none"/>
                    </w:rPr>
                  </w:pPr>
                  <w:r>
                    <w:rPr>
                      <w:color w:val="auto"/>
                      <w:highlight w:val="none"/>
                    </w:rPr>
                    <w:t>0.36</w:t>
                  </w:r>
                </w:p>
              </w:tc>
              <w:tc>
                <w:tcPr>
                  <w:tcW w:w="606" w:type="pct"/>
                  <w:vAlign w:val="center"/>
                </w:tcPr>
                <w:p>
                  <w:pPr>
                    <w:autoSpaceDN w:val="0"/>
                    <w:jc w:val="center"/>
                    <w:textAlignment w:val="baseline"/>
                    <w:rPr>
                      <w:color w:val="auto"/>
                      <w:highlight w:val="none"/>
                    </w:rPr>
                  </w:pPr>
                  <w:r>
                    <w:rPr>
                      <w:color w:val="auto"/>
                      <w:highlight w:val="none"/>
                    </w:rPr>
                    <w:t>0.40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57" w:type="pct"/>
                  <w:vMerge w:val="restart"/>
                  <w:vAlign w:val="center"/>
                </w:tcPr>
                <w:p>
                  <w:pPr>
                    <w:autoSpaceDN w:val="0"/>
                    <w:jc w:val="center"/>
                    <w:textAlignment w:val="baseline"/>
                    <w:rPr>
                      <w:color w:val="auto"/>
                      <w:highlight w:val="none"/>
                    </w:rPr>
                  </w:pPr>
                  <w:r>
                    <w:rPr>
                      <w:color w:val="auto"/>
                      <w:highlight w:val="none"/>
                    </w:rPr>
                    <w:t>大型车</w:t>
                  </w:r>
                </w:p>
              </w:tc>
              <w:tc>
                <w:tcPr>
                  <w:tcW w:w="1013" w:type="pct"/>
                  <w:vAlign w:val="center"/>
                </w:tcPr>
                <w:p>
                  <w:pPr>
                    <w:autoSpaceDN w:val="0"/>
                    <w:jc w:val="center"/>
                    <w:textAlignment w:val="baseline"/>
                    <w:rPr>
                      <w:color w:val="auto"/>
                      <w:highlight w:val="none"/>
                    </w:rPr>
                  </w:pPr>
                  <w:r>
                    <w:rPr>
                      <w:color w:val="auto"/>
                      <w:highlight w:val="none"/>
                    </w:rPr>
                    <w:t>CO</w:t>
                  </w:r>
                </w:p>
              </w:tc>
              <w:tc>
                <w:tcPr>
                  <w:tcW w:w="719" w:type="pct"/>
                  <w:vAlign w:val="center"/>
                </w:tcPr>
                <w:p>
                  <w:pPr>
                    <w:autoSpaceDN w:val="0"/>
                    <w:jc w:val="center"/>
                    <w:textAlignment w:val="baseline"/>
                    <w:rPr>
                      <w:color w:val="auto"/>
                      <w:highlight w:val="none"/>
                    </w:rPr>
                  </w:pPr>
                  <w:r>
                    <w:rPr>
                      <w:color w:val="auto"/>
                      <w:highlight w:val="none"/>
                    </w:rPr>
                    <w:t>6.99</w:t>
                  </w:r>
                </w:p>
              </w:tc>
              <w:tc>
                <w:tcPr>
                  <w:tcW w:w="704" w:type="pct"/>
                  <w:vAlign w:val="center"/>
                </w:tcPr>
                <w:p>
                  <w:pPr>
                    <w:autoSpaceDN w:val="0"/>
                    <w:jc w:val="center"/>
                    <w:textAlignment w:val="baseline"/>
                    <w:rPr>
                      <w:color w:val="auto"/>
                      <w:highlight w:val="none"/>
                    </w:rPr>
                  </w:pPr>
                  <w:r>
                    <w:rPr>
                      <w:color w:val="auto"/>
                      <w:highlight w:val="none"/>
                    </w:rPr>
                    <w:t>5.21</w:t>
                  </w:r>
                </w:p>
              </w:tc>
              <w:tc>
                <w:tcPr>
                  <w:tcW w:w="703" w:type="pct"/>
                  <w:vAlign w:val="center"/>
                </w:tcPr>
                <w:p>
                  <w:pPr>
                    <w:autoSpaceDN w:val="0"/>
                    <w:jc w:val="center"/>
                    <w:textAlignment w:val="baseline"/>
                    <w:rPr>
                      <w:color w:val="auto"/>
                      <w:highlight w:val="none"/>
                    </w:rPr>
                  </w:pPr>
                  <w:r>
                    <w:rPr>
                      <w:color w:val="auto"/>
                      <w:highlight w:val="none"/>
                    </w:rPr>
                    <w:t>3.27</w:t>
                  </w:r>
                </w:p>
              </w:tc>
              <w:tc>
                <w:tcPr>
                  <w:tcW w:w="694" w:type="pct"/>
                  <w:vAlign w:val="center"/>
                </w:tcPr>
                <w:p>
                  <w:pPr>
                    <w:autoSpaceDN w:val="0"/>
                    <w:jc w:val="center"/>
                    <w:textAlignment w:val="baseline"/>
                    <w:rPr>
                      <w:color w:val="auto"/>
                      <w:highlight w:val="none"/>
                    </w:rPr>
                  </w:pPr>
                  <w:r>
                    <w:rPr>
                      <w:color w:val="auto"/>
                      <w:highlight w:val="none"/>
                    </w:rPr>
                    <w:t>1.61</w:t>
                  </w:r>
                </w:p>
              </w:tc>
              <w:tc>
                <w:tcPr>
                  <w:tcW w:w="606" w:type="pct"/>
                  <w:vAlign w:val="center"/>
                </w:tcPr>
                <w:p>
                  <w:pPr>
                    <w:autoSpaceDN w:val="0"/>
                    <w:jc w:val="center"/>
                    <w:textAlignment w:val="baseline"/>
                    <w:rPr>
                      <w:color w:val="auto"/>
                      <w:highlight w:val="none"/>
                    </w:rPr>
                  </w:pPr>
                  <w:r>
                    <w:rPr>
                      <w:color w:val="auto"/>
                      <w:highlight w:val="none"/>
                    </w:rPr>
                    <w:t>2.56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57" w:type="pct"/>
                  <w:vMerge w:val="continue"/>
                  <w:vAlign w:val="center"/>
                </w:tcPr>
                <w:p>
                  <w:pPr>
                    <w:autoSpaceDN w:val="0"/>
                    <w:jc w:val="center"/>
                    <w:textAlignment w:val="baseline"/>
                    <w:rPr>
                      <w:color w:val="auto"/>
                      <w:highlight w:val="none"/>
                    </w:rPr>
                  </w:pPr>
                </w:p>
              </w:tc>
              <w:tc>
                <w:tcPr>
                  <w:tcW w:w="1013" w:type="pct"/>
                  <w:vAlign w:val="center"/>
                </w:tcPr>
                <w:p>
                  <w:pPr>
                    <w:autoSpaceDN w:val="0"/>
                    <w:jc w:val="center"/>
                    <w:textAlignment w:val="baseline"/>
                    <w:rPr>
                      <w:color w:val="auto"/>
                      <w:highlight w:val="none"/>
                    </w:rPr>
                  </w:pPr>
                  <w:r>
                    <w:rPr>
                      <w:color w:val="auto"/>
                      <w:highlight w:val="none"/>
                    </w:rPr>
                    <w:t>THC</w:t>
                  </w:r>
                </w:p>
              </w:tc>
              <w:tc>
                <w:tcPr>
                  <w:tcW w:w="719" w:type="pct"/>
                  <w:vAlign w:val="center"/>
                </w:tcPr>
                <w:p>
                  <w:pPr>
                    <w:autoSpaceDN w:val="0"/>
                    <w:jc w:val="center"/>
                    <w:textAlignment w:val="baseline"/>
                    <w:rPr>
                      <w:color w:val="auto"/>
                      <w:highlight w:val="none"/>
                    </w:rPr>
                  </w:pPr>
                  <w:r>
                    <w:rPr>
                      <w:color w:val="auto"/>
                      <w:highlight w:val="none"/>
                    </w:rPr>
                    <w:t>0.82</w:t>
                  </w:r>
                </w:p>
              </w:tc>
              <w:tc>
                <w:tcPr>
                  <w:tcW w:w="704" w:type="pct"/>
                  <w:vAlign w:val="center"/>
                </w:tcPr>
                <w:p>
                  <w:pPr>
                    <w:autoSpaceDN w:val="0"/>
                    <w:jc w:val="center"/>
                    <w:textAlignment w:val="baseline"/>
                    <w:rPr>
                      <w:color w:val="auto"/>
                      <w:highlight w:val="none"/>
                    </w:rPr>
                  </w:pPr>
                  <w:r>
                    <w:rPr>
                      <w:color w:val="auto"/>
                      <w:highlight w:val="none"/>
                    </w:rPr>
                    <w:t>0.61</w:t>
                  </w:r>
                </w:p>
              </w:tc>
              <w:tc>
                <w:tcPr>
                  <w:tcW w:w="703" w:type="pct"/>
                  <w:vAlign w:val="center"/>
                </w:tcPr>
                <w:p>
                  <w:pPr>
                    <w:autoSpaceDN w:val="0"/>
                    <w:jc w:val="center"/>
                    <w:textAlignment w:val="baseline"/>
                    <w:rPr>
                      <w:color w:val="auto"/>
                      <w:highlight w:val="none"/>
                    </w:rPr>
                  </w:pPr>
                  <w:r>
                    <w:rPr>
                      <w:color w:val="auto"/>
                      <w:highlight w:val="none"/>
                    </w:rPr>
                    <w:t>0.38</w:t>
                  </w:r>
                </w:p>
              </w:tc>
              <w:tc>
                <w:tcPr>
                  <w:tcW w:w="694" w:type="pct"/>
                  <w:vAlign w:val="center"/>
                </w:tcPr>
                <w:p>
                  <w:pPr>
                    <w:autoSpaceDN w:val="0"/>
                    <w:jc w:val="center"/>
                    <w:textAlignment w:val="baseline"/>
                    <w:rPr>
                      <w:color w:val="auto"/>
                      <w:highlight w:val="none"/>
                    </w:rPr>
                  </w:pPr>
                  <w:r>
                    <w:rPr>
                      <w:color w:val="auto"/>
                      <w:highlight w:val="none"/>
                    </w:rPr>
                    <w:t>0.16</w:t>
                  </w:r>
                </w:p>
              </w:tc>
              <w:tc>
                <w:tcPr>
                  <w:tcW w:w="606" w:type="pct"/>
                  <w:vAlign w:val="center"/>
                </w:tcPr>
                <w:p>
                  <w:pPr>
                    <w:autoSpaceDN w:val="0"/>
                    <w:jc w:val="center"/>
                    <w:textAlignment w:val="baseline"/>
                    <w:rPr>
                      <w:color w:val="auto"/>
                      <w:highlight w:val="none"/>
                    </w:rPr>
                  </w:pPr>
                  <w:r>
                    <w:rPr>
                      <w:color w:val="auto"/>
                      <w:highlight w:val="none"/>
                    </w:rPr>
                    <w:t>0.29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557" w:type="pct"/>
                  <w:vMerge w:val="continue"/>
                  <w:vAlign w:val="center"/>
                </w:tcPr>
                <w:p>
                  <w:pPr>
                    <w:autoSpaceDN w:val="0"/>
                    <w:jc w:val="center"/>
                    <w:textAlignment w:val="baseline"/>
                    <w:rPr>
                      <w:color w:val="auto"/>
                      <w:highlight w:val="none"/>
                    </w:rPr>
                  </w:pPr>
                </w:p>
              </w:tc>
              <w:tc>
                <w:tcPr>
                  <w:tcW w:w="1013" w:type="pct"/>
                  <w:vAlign w:val="center"/>
                </w:tcPr>
                <w:p>
                  <w:pPr>
                    <w:autoSpaceDN w:val="0"/>
                    <w:jc w:val="center"/>
                    <w:textAlignment w:val="baseline"/>
                    <w:rPr>
                      <w:color w:val="auto"/>
                      <w:highlight w:val="none"/>
                    </w:rPr>
                  </w:pPr>
                  <w:r>
                    <w:rPr>
                      <w:color w:val="auto"/>
                      <w:highlight w:val="none"/>
                    </w:rPr>
                    <w:t>NO</w:t>
                  </w:r>
                  <w:r>
                    <w:rPr>
                      <w:color w:val="auto"/>
                      <w:highlight w:val="none"/>
                      <w:vertAlign w:val="subscript"/>
                    </w:rPr>
                    <w:t>2</w:t>
                  </w:r>
                </w:p>
              </w:tc>
              <w:tc>
                <w:tcPr>
                  <w:tcW w:w="719" w:type="pct"/>
                  <w:vAlign w:val="center"/>
                </w:tcPr>
                <w:p>
                  <w:pPr>
                    <w:autoSpaceDN w:val="0"/>
                    <w:jc w:val="center"/>
                    <w:textAlignment w:val="baseline"/>
                    <w:rPr>
                      <w:color w:val="auto"/>
                      <w:highlight w:val="none"/>
                    </w:rPr>
                  </w:pPr>
                  <w:r>
                    <w:rPr>
                      <w:color w:val="auto"/>
                      <w:highlight w:val="none"/>
                    </w:rPr>
                    <w:t>0.87</w:t>
                  </w:r>
                </w:p>
              </w:tc>
              <w:tc>
                <w:tcPr>
                  <w:tcW w:w="704" w:type="pct"/>
                  <w:vAlign w:val="center"/>
                </w:tcPr>
                <w:p>
                  <w:pPr>
                    <w:autoSpaceDN w:val="0"/>
                    <w:jc w:val="center"/>
                    <w:textAlignment w:val="baseline"/>
                    <w:rPr>
                      <w:color w:val="auto"/>
                      <w:highlight w:val="none"/>
                    </w:rPr>
                  </w:pPr>
                  <w:r>
                    <w:rPr>
                      <w:color w:val="auto"/>
                      <w:highlight w:val="none"/>
                    </w:rPr>
                    <w:t>0.71</w:t>
                  </w:r>
                </w:p>
              </w:tc>
              <w:tc>
                <w:tcPr>
                  <w:tcW w:w="703" w:type="pct"/>
                  <w:vAlign w:val="center"/>
                </w:tcPr>
                <w:p>
                  <w:pPr>
                    <w:autoSpaceDN w:val="0"/>
                    <w:jc w:val="center"/>
                    <w:textAlignment w:val="baseline"/>
                    <w:rPr>
                      <w:color w:val="auto"/>
                      <w:highlight w:val="none"/>
                    </w:rPr>
                  </w:pPr>
                  <w:r>
                    <w:rPr>
                      <w:color w:val="auto"/>
                      <w:highlight w:val="none"/>
                    </w:rPr>
                    <w:t>0.57</w:t>
                  </w:r>
                </w:p>
              </w:tc>
              <w:tc>
                <w:tcPr>
                  <w:tcW w:w="694" w:type="pct"/>
                  <w:vAlign w:val="center"/>
                </w:tcPr>
                <w:p>
                  <w:pPr>
                    <w:autoSpaceDN w:val="0"/>
                    <w:jc w:val="center"/>
                    <w:textAlignment w:val="baseline"/>
                    <w:rPr>
                      <w:color w:val="auto"/>
                      <w:highlight w:val="none"/>
                    </w:rPr>
                  </w:pPr>
                  <w:r>
                    <w:rPr>
                      <w:color w:val="auto"/>
                      <w:highlight w:val="none"/>
                    </w:rPr>
                    <w:t>0.54</w:t>
                  </w:r>
                </w:p>
              </w:tc>
              <w:tc>
                <w:tcPr>
                  <w:tcW w:w="606" w:type="pct"/>
                  <w:vAlign w:val="center"/>
                </w:tcPr>
                <w:p>
                  <w:pPr>
                    <w:autoSpaceDN w:val="0"/>
                    <w:jc w:val="center"/>
                    <w:textAlignment w:val="baseline"/>
                    <w:rPr>
                      <w:color w:val="auto"/>
                      <w:highlight w:val="none"/>
                    </w:rPr>
                  </w:pPr>
                  <w:r>
                    <w:rPr>
                      <w:color w:val="auto"/>
                      <w:highlight w:val="none"/>
                    </w:rPr>
                    <w:t>0.61</w:t>
                  </w:r>
                </w:p>
              </w:tc>
            </w:tr>
          </w:tbl>
          <w:p>
            <w:pPr>
              <w:wordWrap w:val="0"/>
              <w:spacing w:line="400" w:lineRule="atLeast"/>
              <w:ind w:firstLine="480" w:firstLineChars="200"/>
              <w:rPr>
                <w:color w:val="auto"/>
                <w:sz w:val="24"/>
                <w:highlight w:val="none"/>
              </w:rPr>
            </w:pPr>
            <w:r>
              <w:rPr>
                <w:color w:val="auto"/>
                <w:sz w:val="24"/>
                <w:highlight w:val="none"/>
              </w:rPr>
              <w:t>根据以上公式，计算得本项目各路段各预测期汽车尾气排放源强，结果见</w:t>
            </w:r>
            <w:r>
              <w:rPr>
                <w:rFonts w:hint="eastAsia"/>
                <w:color w:val="auto"/>
                <w:sz w:val="24"/>
                <w:highlight w:val="none"/>
              </w:rPr>
              <w:t>下</w:t>
            </w:r>
            <w:r>
              <w:rPr>
                <w:color w:val="auto"/>
                <w:sz w:val="24"/>
                <w:highlight w:val="none"/>
              </w:rPr>
              <w:t>表</w:t>
            </w:r>
            <w:r>
              <w:rPr>
                <w:rFonts w:hint="eastAsia"/>
                <w:color w:val="auto"/>
                <w:sz w:val="24"/>
                <w:highlight w:val="none"/>
              </w:rPr>
              <w:t>：</w:t>
            </w:r>
          </w:p>
          <w:p>
            <w:pPr>
              <w:pStyle w:val="23"/>
              <w:spacing w:line="400" w:lineRule="atLeast"/>
              <w:jc w:val="center"/>
              <w:rPr>
                <w:b/>
                <w:bCs/>
                <w:color w:val="auto"/>
                <w:sz w:val="21"/>
                <w:szCs w:val="21"/>
                <w:highlight w:val="none"/>
              </w:rPr>
            </w:pPr>
            <w:r>
              <w:rPr>
                <w:b/>
                <w:bCs/>
                <w:color w:val="auto"/>
                <w:sz w:val="21"/>
                <w:szCs w:val="21"/>
                <w:highlight w:val="none"/>
              </w:rPr>
              <w:t>表4-</w:t>
            </w:r>
            <w:r>
              <w:rPr>
                <w:rFonts w:hint="eastAsia"/>
                <w:b/>
                <w:bCs/>
                <w:color w:val="auto"/>
                <w:sz w:val="21"/>
                <w:szCs w:val="21"/>
                <w:highlight w:val="none"/>
              </w:rPr>
              <w:t xml:space="preserve">4 </w:t>
            </w:r>
            <w:r>
              <w:rPr>
                <w:b/>
                <w:bCs/>
                <w:color w:val="auto"/>
                <w:sz w:val="21"/>
                <w:szCs w:val="21"/>
                <w:highlight w:val="none"/>
              </w:rPr>
              <w:t>营运期</w:t>
            </w:r>
            <w:r>
              <w:rPr>
                <w:rFonts w:hint="eastAsia"/>
                <w:b/>
                <w:bCs/>
                <w:color w:val="auto"/>
                <w:sz w:val="21"/>
                <w:szCs w:val="21"/>
                <w:highlight w:val="none"/>
              </w:rPr>
              <w:t>昼间</w:t>
            </w:r>
            <w:r>
              <w:rPr>
                <w:b/>
                <w:bCs/>
                <w:color w:val="auto"/>
                <w:sz w:val="21"/>
                <w:szCs w:val="21"/>
                <w:highlight w:val="none"/>
              </w:rPr>
              <w:t>各特征年尾气污染物源强（单位：mg/(m·s)）</w:t>
            </w:r>
          </w:p>
          <w:tbl>
            <w:tblPr>
              <w:tblStyle w:val="18"/>
              <w:tblW w:w="811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19"/>
              <w:gridCol w:w="1320"/>
              <w:gridCol w:w="1626"/>
              <w:gridCol w:w="1626"/>
              <w:gridCol w:w="16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76" w:hRule="atLeast"/>
                <w:jc w:val="center"/>
              </w:trPr>
              <w:tc>
                <w:tcPr>
                  <w:tcW w:w="1919" w:type="dxa"/>
                  <w:vAlign w:val="center"/>
                </w:tcPr>
                <w:p>
                  <w:pPr>
                    <w:widowControl/>
                    <w:jc w:val="center"/>
                    <w:textAlignment w:val="center"/>
                    <w:rPr>
                      <w:b/>
                      <w:bCs/>
                      <w:color w:val="auto"/>
                      <w:highlight w:val="none"/>
                    </w:rPr>
                  </w:pPr>
                  <w:r>
                    <w:rPr>
                      <w:rFonts w:hint="eastAsia" w:ascii="宋体" w:hAnsi="宋体" w:cs="宋体"/>
                      <w:b/>
                      <w:bCs/>
                      <w:color w:val="auto"/>
                      <w:kern w:val="0"/>
                      <w:szCs w:val="21"/>
                      <w:highlight w:val="none"/>
                    </w:rPr>
                    <w:t>路段</w:t>
                  </w:r>
                </w:p>
              </w:tc>
              <w:tc>
                <w:tcPr>
                  <w:tcW w:w="1320" w:type="dxa"/>
                  <w:vAlign w:val="center"/>
                </w:tcPr>
                <w:p>
                  <w:pPr>
                    <w:widowControl/>
                    <w:jc w:val="center"/>
                    <w:textAlignment w:val="center"/>
                    <w:rPr>
                      <w:b/>
                      <w:bCs/>
                      <w:color w:val="auto"/>
                      <w:highlight w:val="none"/>
                    </w:rPr>
                  </w:pPr>
                  <w:r>
                    <w:rPr>
                      <w:rFonts w:hint="eastAsia" w:ascii="宋体" w:hAnsi="宋体" w:cs="宋体"/>
                      <w:b/>
                      <w:bCs/>
                      <w:color w:val="auto"/>
                      <w:kern w:val="0"/>
                      <w:szCs w:val="21"/>
                      <w:highlight w:val="none"/>
                    </w:rPr>
                    <w:t>年份</w:t>
                  </w:r>
                </w:p>
              </w:tc>
              <w:tc>
                <w:tcPr>
                  <w:tcW w:w="1626" w:type="dxa"/>
                  <w:vAlign w:val="center"/>
                </w:tcPr>
                <w:p>
                  <w:pPr>
                    <w:widowControl/>
                    <w:jc w:val="center"/>
                    <w:textAlignment w:val="center"/>
                    <w:rPr>
                      <w:b/>
                      <w:bCs/>
                      <w:color w:val="auto"/>
                      <w:highlight w:val="none"/>
                    </w:rPr>
                  </w:pPr>
                  <w:r>
                    <w:rPr>
                      <w:b/>
                      <w:bCs/>
                      <w:color w:val="auto"/>
                      <w:kern w:val="0"/>
                      <w:szCs w:val="21"/>
                      <w:highlight w:val="none"/>
                    </w:rPr>
                    <w:t>CO</w:t>
                  </w:r>
                </w:p>
              </w:tc>
              <w:tc>
                <w:tcPr>
                  <w:tcW w:w="1626" w:type="dxa"/>
                  <w:vAlign w:val="center"/>
                </w:tcPr>
                <w:p>
                  <w:pPr>
                    <w:widowControl/>
                    <w:jc w:val="center"/>
                    <w:textAlignment w:val="center"/>
                    <w:rPr>
                      <w:b/>
                      <w:bCs/>
                      <w:color w:val="auto"/>
                      <w:highlight w:val="none"/>
                    </w:rPr>
                  </w:pPr>
                  <w:r>
                    <w:rPr>
                      <w:b/>
                      <w:bCs/>
                      <w:color w:val="auto"/>
                      <w:kern w:val="0"/>
                      <w:szCs w:val="21"/>
                      <w:highlight w:val="none"/>
                    </w:rPr>
                    <w:t>NO</w:t>
                  </w:r>
                  <w:r>
                    <w:rPr>
                      <w:rStyle w:val="30"/>
                      <w:color w:val="auto"/>
                      <w:highlight w:val="none"/>
                    </w:rPr>
                    <w:t>2</w:t>
                  </w:r>
                </w:p>
              </w:tc>
              <w:tc>
                <w:tcPr>
                  <w:tcW w:w="1626" w:type="dxa"/>
                  <w:vAlign w:val="center"/>
                </w:tcPr>
                <w:p>
                  <w:pPr>
                    <w:widowControl/>
                    <w:jc w:val="center"/>
                    <w:textAlignment w:val="center"/>
                    <w:rPr>
                      <w:b/>
                      <w:bCs/>
                      <w:color w:val="auto"/>
                      <w:highlight w:val="none"/>
                    </w:rPr>
                  </w:pPr>
                  <w:r>
                    <w:rPr>
                      <w:b/>
                      <w:bCs/>
                      <w:color w:val="auto"/>
                      <w:kern w:val="0"/>
                      <w:szCs w:val="21"/>
                      <w:highlight w:val="none"/>
                    </w:rPr>
                    <w:t>THC</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19" w:type="dxa"/>
                  <w:vMerge w:val="restart"/>
                  <w:vAlign w:val="center"/>
                </w:tcPr>
                <w:p>
                  <w:pPr>
                    <w:widowControl/>
                    <w:jc w:val="center"/>
                    <w:textAlignment w:val="center"/>
                    <w:rPr>
                      <w:color w:val="auto"/>
                      <w:szCs w:val="21"/>
                      <w:highlight w:val="none"/>
                    </w:rPr>
                  </w:pPr>
                  <w:r>
                    <w:rPr>
                      <w:rFonts w:hint="eastAsia"/>
                      <w:color w:val="auto"/>
                      <w:szCs w:val="21"/>
                      <w:highlight w:val="none"/>
                    </w:rPr>
                    <w:t>扬东路西延</w:t>
                  </w:r>
                </w:p>
              </w:tc>
              <w:tc>
                <w:tcPr>
                  <w:tcW w:w="1320" w:type="dxa"/>
                  <w:vAlign w:val="center"/>
                </w:tcPr>
                <w:p>
                  <w:pPr>
                    <w:widowControl/>
                    <w:jc w:val="center"/>
                    <w:textAlignment w:val="center"/>
                    <w:rPr>
                      <w:color w:val="auto"/>
                      <w:szCs w:val="21"/>
                      <w:highlight w:val="none"/>
                    </w:rPr>
                  </w:pPr>
                  <w:r>
                    <w:rPr>
                      <w:color w:val="auto"/>
                      <w:kern w:val="0"/>
                      <w:szCs w:val="21"/>
                      <w:highlight w:val="none"/>
                    </w:rPr>
                    <w:t>20</w:t>
                  </w:r>
                  <w:r>
                    <w:rPr>
                      <w:rFonts w:hint="eastAsia"/>
                      <w:color w:val="auto"/>
                      <w:kern w:val="0"/>
                      <w:szCs w:val="21"/>
                      <w:highlight w:val="none"/>
                    </w:rPr>
                    <w:t>30</w:t>
                  </w:r>
                  <w:r>
                    <w:rPr>
                      <w:color w:val="auto"/>
                      <w:kern w:val="0"/>
                      <w:szCs w:val="21"/>
                      <w:highlight w:val="none"/>
                    </w:rPr>
                    <w:t>年</w:t>
                  </w:r>
                </w:p>
              </w:tc>
              <w:tc>
                <w:tcPr>
                  <w:tcW w:w="1626" w:type="dxa"/>
                  <w:vAlign w:val="center"/>
                </w:tcPr>
                <w:p>
                  <w:pPr>
                    <w:autoSpaceDN w:val="0"/>
                    <w:jc w:val="center"/>
                    <w:textAlignment w:val="baseline"/>
                    <w:rPr>
                      <w:color w:val="auto"/>
                      <w:highlight w:val="none"/>
                    </w:rPr>
                  </w:pPr>
                  <w:r>
                    <w:rPr>
                      <w:rFonts w:hint="eastAsia"/>
                      <w:color w:val="auto"/>
                      <w:highlight w:val="none"/>
                    </w:rPr>
                    <w:t xml:space="preserve">0.623 </w:t>
                  </w:r>
                </w:p>
              </w:tc>
              <w:tc>
                <w:tcPr>
                  <w:tcW w:w="1626" w:type="dxa"/>
                  <w:vAlign w:val="center"/>
                </w:tcPr>
                <w:p>
                  <w:pPr>
                    <w:autoSpaceDN w:val="0"/>
                    <w:jc w:val="center"/>
                    <w:textAlignment w:val="baseline"/>
                    <w:rPr>
                      <w:color w:val="auto"/>
                      <w:highlight w:val="none"/>
                    </w:rPr>
                  </w:pPr>
                  <w:r>
                    <w:rPr>
                      <w:rFonts w:hint="eastAsia"/>
                      <w:color w:val="auto"/>
                      <w:highlight w:val="none"/>
                    </w:rPr>
                    <w:t xml:space="preserve">0.074 </w:t>
                  </w:r>
                </w:p>
              </w:tc>
              <w:tc>
                <w:tcPr>
                  <w:tcW w:w="1626" w:type="dxa"/>
                  <w:vAlign w:val="center"/>
                </w:tcPr>
                <w:p>
                  <w:pPr>
                    <w:autoSpaceDN w:val="0"/>
                    <w:jc w:val="center"/>
                    <w:textAlignment w:val="baseline"/>
                    <w:rPr>
                      <w:color w:val="auto"/>
                      <w:highlight w:val="none"/>
                    </w:rPr>
                  </w:pPr>
                  <w:r>
                    <w:rPr>
                      <w:rFonts w:hint="eastAsia"/>
                      <w:color w:val="auto"/>
                      <w:highlight w:val="none"/>
                    </w:rPr>
                    <w:t xml:space="preserve">0.059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919" w:type="dxa"/>
                  <w:vMerge w:val="continue"/>
                  <w:vAlign w:val="center"/>
                </w:tcPr>
                <w:p>
                  <w:pPr>
                    <w:jc w:val="center"/>
                    <w:rPr>
                      <w:color w:val="auto"/>
                      <w:szCs w:val="21"/>
                      <w:highlight w:val="none"/>
                    </w:rPr>
                  </w:pPr>
                </w:p>
              </w:tc>
              <w:tc>
                <w:tcPr>
                  <w:tcW w:w="1320" w:type="dxa"/>
                  <w:vAlign w:val="center"/>
                </w:tcPr>
                <w:p>
                  <w:pPr>
                    <w:widowControl/>
                    <w:jc w:val="center"/>
                    <w:textAlignment w:val="center"/>
                    <w:rPr>
                      <w:color w:val="auto"/>
                      <w:szCs w:val="21"/>
                      <w:highlight w:val="none"/>
                    </w:rPr>
                  </w:pPr>
                  <w:r>
                    <w:rPr>
                      <w:color w:val="auto"/>
                      <w:kern w:val="0"/>
                      <w:szCs w:val="21"/>
                      <w:highlight w:val="none"/>
                    </w:rPr>
                    <w:t>20</w:t>
                  </w:r>
                  <w:r>
                    <w:rPr>
                      <w:rFonts w:hint="eastAsia"/>
                      <w:color w:val="auto"/>
                      <w:kern w:val="0"/>
                      <w:szCs w:val="21"/>
                      <w:highlight w:val="none"/>
                    </w:rPr>
                    <w:t>35</w:t>
                  </w:r>
                  <w:r>
                    <w:rPr>
                      <w:color w:val="auto"/>
                      <w:kern w:val="0"/>
                      <w:szCs w:val="21"/>
                      <w:highlight w:val="none"/>
                    </w:rPr>
                    <w:t>年</w:t>
                  </w:r>
                </w:p>
              </w:tc>
              <w:tc>
                <w:tcPr>
                  <w:tcW w:w="1626" w:type="dxa"/>
                  <w:vAlign w:val="center"/>
                </w:tcPr>
                <w:p>
                  <w:pPr>
                    <w:autoSpaceDN w:val="0"/>
                    <w:jc w:val="center"/>
                    <w:textAlignment w:val="baseline"/>
                    <w:rPr>
                      <w:color w:val="auto"/>
                      <w:highlight w:val="none"/>
                    </w:rPr>
                  </w:pPr>
                  <w:r>
                    <w:rPr>
                      <w:rFonts w:hint="eastAsia"/>
                      <w:color w:val="auto"/>
                      <w:highlight w:val="none"/>
                    </w:rPr>
                    <w:t xml:space="preserve">0.747 </w:t>
                  </w:r>
                </w:p>
              </w:tc>
              <w:tc>
                <w:tcPr>
                  <w:tcW w:w="1626" w:type="dxa"/>
                  <w:vAlign w:val="center"/>
                </w:tcPr>
                <w:p>
                  <w:pPr>
                    <w:autoSpaceDN w:val="0"/>
                    <w:jc w:val="center"/>
                    <w:textAlignment w:val="baseline"/>
                    <w:rPr>
                      <w:color w:val="auto"/>
                      <w:highlight w:val="none"/>
                    </w:rPr>
                  </w:pPr>
                  <w:r>
                    <w:rPr>
                      <w:rFonts w:hint="eastAsia"/>
                      <w:color w:val="auto"/>
                      <w:highlight w:val="none"/>
                    </w:rPr>
                    <w:t xml:space="preserve">0.089 </w:t>
                  </w:r>
                </w:p>
              </w:tc>
              <w:tc>
                <w:tcPr>
                  <w:tcW w:w="1626" w:type="dxa"/>
                  <w:vAlign w:val="center"/>
                </w:tcPr>
                <w:p>
                  <w:pPr>
                    <w:autoSpaceDN w:val="0"/>
                    <w:jc w:val="center"/>
                    <w:textAlignment w:val="baseline"/>
                    <w:rPr>
                      <w:color w:val="auto"/>
                      <w:highlight w:val="none"/>
                    </w:rPr>
                  </w:pPr>
                  <w:r>
                    <w:rPr>
                      <w:rFonts w:hint="eastAsia"/>
                      <w:color w:val="auto"/>
                      <w:highlight w:val="none"/>
                    </w:rPr>
                    <w:t xml:space="preserve">0.071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919" w:type="dxa"/>
                  <w:vMerge w:val="continue"/>
                  <w:vAlign w:val="center"/>
                </w:tcPr>
                <w:p>
                  <w:pPr>
                    <w:jc w:val="center"/>
                    <w:rPr>
                      <w:color w:val="auto"/>
                      <w:szCs w:val="21"/>
                      <w:highlight w:val="none"/>
                    </w:rPr>
                  </w:pPr>
                </w:p>
              </w:tc>
              <w:tc>
                <w:tcPr>
                  <w:tcW w:w="1320" w:type="dxa"/>
                  <w:vAlign w:val="center"/>
                </w:tcPr>
                <w:p>
                  <w:pPr>
                    <w:widowControl/>
                    <w:jc w:val="center"/>
                    <w:textAlignment w:val="center"/>
                    <w:rPr>
                      <w:color w:val="auto"/>
                      <w:szCs w:val="21"/>
                      <w:highlight w:val="none"/>
                    </w:rPr>
                  </w:pPr>
                  <w:r>
                    <w:rPr>
                      <w:color w:val="auto"/>
                      <w:kern w:val="0"/>
                      <w:szCs w:val="21"/>
                      <w:highlight w:val="none"/>
                    </w:rPr>
                    <w:t>20</w:t>
                  </w:r>
                  <w:r>
                    <w:rPr>
                      <w:rFonts w:hint="eastAsia"/>
                      <w:color w:val="auto"/>
                      <w:kern w:val="0"/>
                      <w:szCs w:val="21"/>
                      <w:highlight w:val="none"/>
                    </w:rPr>
                    <w:t>40</w:t>
                  </w:r>
                  <w:r>
                    <w:rPr>
                      <w:color w:val="auto"/>
                      <w:kern w:val="0"/>
                      <w:szCs w:val="21"/>
                      <w:highlight w:val="none"/>
                    </w:rPr>
                    <w:t>年</w:t>
                  </w:r>
                </w:p>
              </w:tc>
              <w:tc>
                <w:tcPr>
                  <w:tcW w:w="1626" w:type="dxa"/>
                  <w:vAlign w:val="center"/>
                </w:tcPr>
                <w:p>
                  <w:pPr>
                    <w:autoSpaceDN w:val="0"/>
                    <w:jc w:val="center"/>
                    <w:textAlignment w:val="baseline"/>
                    <w:rPr>
                      <w:color w:val="auto"/>
                      <w:highlight w:val="none"/>
                    </w:rPr>
                  </w:pPr>
                  <w:r>
                    <w:rPr>
                      <w:rFonts w:hint="eastAsia"/>
                      <w:color w:val="auto"/>
                      <w:highlight w:val="none"/>
                    </w:rPr>
                    <w:t xml:space="preserve">0.971 </w:t>
                  </w:r>
                </w:p>
              </w:tc>
              <w:tc>
                <w:tcPr>
                  <w:tcW w:w="1626" w:type="dxa"/>
                  <w:vAlign w:val="center"/>
                </w:tcPr>
                <w:p>
                  <w:pPr>
                    <w:widowControl/>
                    <w:jc w:val="center"/>
                    <w:textAlignment w:val="center"/>
                    <w:rPr>
                      <w:color w:val="auto"/>
                      <w:szCs w:val="21"/>
                      <w:highlight w:val="none"/>
                    </w:rPr>
                  </w:pPr>
                  <w:r>
                    <w:rPr>
                      <w:color w:val="auto"/>
                      <w:kern w:val="0"/>
                      <w:szCs w:val="21"/>
                      <w:highlight w:val="none"/>
                    </w:rPr>
                    <w:t xml:space="preserve">0.116 </w:t>
                  </w:r>
                </w:p>
              </w:tc>
              <w:tc>
                <w:tcPr>
                  <w:tcW w:w="1626" w:type="dxa"/>
                  <w:vAlign w:val="center"/>
                </w:tcPr>
                <w:p>
                  <w:pPr>
                    <w:autoSpaceDN w:val="0"/>
                    <w:jc w:val="center"/>
                    <w:textAlignment w:val="baseline"/>
                    <w:rPr>
                      <w:color w:val="auto"/>
                      <w:highlight w:val="none"/>
                    </w:rPr>
                  </w:pPr>
                  <w:r>
                    <w:rPr>
                      <w:rFonts w:hint="eastAsia"/>
                      <w:color w:val="auto"/>
                      <w:highlight w:val="none"/>
                    </w:rPr>
                    <w:t xml:space="preserve">0.093 </w:t>
                  </w:r>
                </w:p>
              </w:tc>
            </w:tr>
          </w:tbl>
          <w:p>
            <w:pPr>
              <w:pStyle w:val="23"/>
              <w:spacing w:line="400" w:lineRule="atLeast"/>
              <w:jc w:val="center"/>
              <w:rPr>
                <w:b/>
                <w:bCs/>
                <w:color w:val="auto"/>
                <w:sz w:val="21"/>
                <w:szCs w:val="21"/>
                <w:highlight w:val="none"/>
              </w:rPr>
            </w:pPr>
            <w:r>
              <w:rPr>
                <w:b/>
                <w:bCs/>
                <w:color w:val="auto"/>
                <w:sz w:val="21"/>
                <w:szCs w:val="21"/>
                <w:highlight w:val="none"/>
              </w:rPr>
              <w:t>表4-</w:t>
            </w:r>
            <w:r>
              <w:rPr>
                <w:rFonts w:hint="eastAsia"/>
                <w:b/>
                <w:bCs/>
                <w:color w:val="auto"/>
                <w:sz w:val="21"/>
                <w:szCs w:val="21"/>
                <w:highlight w:val="none"/>
              </w:rPr>
              <w:t>5 营运期夜间各特征年尾气污染物源强（单位：mg</w:t>
            </w:r>
            <w:r>
              <w:rPr>
                <w:b/>
                <w:bCs/>
                <w:color w:val="auto"/>
                <w:sz w:val="21"/>
                <w:szCs w:val="21"/>
                <w:highlight w:val="none"/>
              </w:rPr>
              <w:t>/(m·s)）</w:t>
            </w:r>
          </w:p>
          <w:tbl>
            <w:tblPr>
              <w:tblStyle w:val="18"/>
              <w:tblW w:w="805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04"/>
              <w:gridCol w:w="1310"/>
              <w:gridCol w:w="1614"/>
              <w:gridCol w:w="1614"/>
              <w:gridCol w:w="16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904" w:type="dxa"/>
                  <w:vAlign w:val="center"/>
                </w:tcPr>
                <w:p>
                  <w:pPr>
                    <w:widowControl/>
                    <w:jc w:val="center"/>
                    <w:textAlignment w:val="center"/>
                    <w:rPr>
                      <w:b/>
                      <w:bCs/>
                      <w:color w:val="auto"/>
                      <w:highlight w:val="none"/>
                    </w:rPr>
                  </w:pPr>
                  <w:r>
                    <w:rPr>
                      <w:rFonts w:hint="eastAsia" w:ascii="宋体" w:hAnsi="宋体" w:cs="宋体"/>
                      <w:b/>
                      <w:bCs/>
                      <w:color w:val="auto"/>
                      <w:kern w:val="0"/>
                      <w:szCs w:val="21"/>
                      <w:highlight w:val="none"/>
                    </w:rPr>
                    <w:t>路段</w:t>
                  </w:r>
                </w:p>
              </w:tc>
              <w:tc>
                <w:tcPr>
                  <w:tcW w:w="1310" w:type="dxa"/>
                  <w:vAlign w:val="center"/>
                </w:tcPr>
                <w:p>
                  <w:pPr>
                    <w:widowControl/>
                    <w:jc w:val="center"/>
                    <w:textAlignment w:val="center"/>
                    <w:rPr>
                      <w:b/>
                      <w:bCs/>
                      <w:color w:val="auto"/>
                      <w:highlight w:val="none"/>
                    </w:rPr>
                  </w:pPr>
                  <w:r>
                    <w:rPr>
                      <w:rFonts w:hint="eastAsia" w:ascii="宋体" w:hAnsi="宋体" w:cs="宋体"/>
                      <w:b/>
                      <w:bCs/>
                      <w:color w:val="auto"/>
                      <w:kern w:val="0"/>
                      <w:szCs w:val="21"/>
                      <w:highlight w:val="none"/>
                    </w:rPr>
                    <w:t>年份</w:t>
                  </w:r>
                </w:p>
              </w:tc>
              <w:tc>
                <w:tcPr>
                  <w:tcW w:w="1614" w:type="dxa"/>
                  <w:vAlign w:val="center"/>
                </w:tcPr>
                <w:p>
                  <w:pPr>
                    <w:widowControl/>
                    <w:jc w:val="center"/>
                    <w:textAlignment w:val="center"/>
                    <w:rPr>
                      <w:b/>
                      <w:bCs/>
                      <w:color w:val="auto"/>
                      <w:highlight w:val="none"/>
                    </w:rPr>
                  </w:pPr>
                  <w:r>
                    <w:rPr>
                      <w:b/>
                      <w:bCs/>
                      <w:color w:val="auto"/>
                      <w:kern w:val="0"/>
                      <w:szCs w:val="21"/>
                      <w:highlight w:val="none"/>
                    </w:rPr>
                    <w:t>CO</w:t>
                  </w:r>
                </w:p>
              </w:tc>
              <w:tc>
                <w:tcPr>
                  <w:tcW w:w="1614" w:type="dxa"/>
                  <w:vAlign w:val="center"/>
                </w:tcPr>
                <w:p>
                  <w:pPr>
                    <w:widowControl/>
                    <w:jc w:val="center"/>
                    <w:textAlignment w:val="center"/>
                    <w:rPr>
                      <w:b/>
                      <w:bCs/>
                      <w:color w:val="auto"/>
                      <w:highlight w:val="none"/>
                    </w:rPr>
                  </w:pPr>
                  <w:r>
                    <w:rPr>
                      <w:b/>
                      <w:bCs/>
                      <w:color w:val="auto"/>
                      <w:kern w:val="0"/>
                      <w:szCs w:val="21"/>
                      <w:highlight w:val="none"/>
                    </w:rPr>
                    <w:t>NO</w:t>
                  </w:r>
                  <w:r>
                    <w:rPr>
                      <w:rStyle w:val="30"/>
                      <w:color w:val="auto"/>
                      <w:highlight w:val="none"/>
                    </w:rPr>
                    <w:t>2</w:t>
                  </w:r>
                </w:p>
              </w:tc>
              <w:tc>
                <w:tcPr>
                  <w:tcW w:w="1614" w:type="dxa"/>
                  <w:vAlign w:val="center"/>
                </w:tcPr>
                <w:p>
                  <w:pPr>
                    <w:widowControl/>
                    <w:jc w:val="center"/>
                    <w:textAlignment w:val="center"/>
                    <w:rPr>
                      <w:b/>
                      <w:bCs/>
                      <w:color w:val="auto"/>
                      <w:highlight w:val="none"/>
                    </w:rPr>
                  </w:pPr>
                  <w:r>
                    <w:rPr>
                      <w:b/>
                      <w:bCs/>
                      <w:color w:val="auto"/>
                      <w:kern w:val="0"/>
                      <w:szCs w:val="21"/>
                      <w:highlight w:val="none"/>
                    </w:rPr>
                    <w:t>THC</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904" w:type="dxa"/>
                  <w:vMerge w:val="restart"/>
                  <w:vAlign w:val="center"/>
                </w:tcPr>
                <w:p>
                  <w:pPr>
                    <w:widowControl/>
                    <w:jc w:val="center"/>
                    <w:textAlignment w:val="center"/>
                    <w:rPr>
                      <w:color w:val="auto"/>
                      <w:szCs w:val="21"/>
                      <w:highlight w:val="none"/>
                    </w:rPr>
                  </w:pPr>
                  <w:r>
                    <w:rPr>
                      <w:rFonts w:hint="eastAsia"/>
                      <w:color w:val="auto"/>
                      <w:szCs w:val="21"/>
                      <w:highlight w:val="none"/>
                    </w:rPr>
                    <w:t>扬东路西延</w:t>
                  </w:r>
                </w:p>
              </w:tc>
              <w:tc>
                <w:tcPr>
                  <w:tcW w:w="1310" w:type="dxa"/>
                  <w:vAlign w:val="center"/>
                </w:tcPr>
                <w:p>
                  <w:pPr>
                    <w:widowControl/>
                    <w:jc w:val="center"/>
                    <w:textAlignment w:val="center"/>
                    <w:rPr>
                      <w:color w:val="auto"/>
                      <w:szCs w:val="21"/>
                      <w:highlight w:val="none"/>
                    </w:rPr>
                  </w:pPr>
                  <w:r>
                    <w:rPr>
                      <w:color w:val="auto"/>
                      <w:kern w:val="0"/>
                      <w:szCs w:val="21"/>
                      <w:highlight w:val="none"/>
                    </w:rPr>
                    <w:t>20</w:t>
                  </w:r>
                  <w:r>
                    <w:rPr>
                      <w:rFonts w:hint="eastAsia"/>
                      <w:color w:val="auto"/>
                      <w:kern w:val="0"/>
                      <w:szCs w:val="21"/>
                      <w:highlight w:val="none"/>
                    </w:rPr>
                    <w:t>30</w:t>
                  </w:r>
                  <w:r>
                    <w:rPr>
                      <w:color w:val="auto"/>
                      <w:kern w:val="0"/>
                      <w:szCs w:val="21"/>
                      <w:highlight w:val="none"/>
                    </w:rPr>
                    <w:t>年</w:t>
                  </w:r>
                </w:p>
              </w:tc>
              <w:tc>
                <w:tcPr>
                  <w:tcW w:w="1614" w:type="dxa"/>
                  <w:vAlign w:val="center"/>
                </w:tcPr>
                <w:p>
                  <w:pPr>
                    <w:widowControl/>
                    <w:jc w:val="center"/>
                    <w:textAlignment w:val="center"/>
                    <w:rPr>
                      <w:color w:val="auto"/>
                      <w:kern w:val="0"/>
                      <w:szCs w:val="21"/>
                      <w:highlight w:val="none"/>
                    </w:rPr>
                  </w:pPr>
                  <w:r>
                    <w:rPr>
                      <w:color w:val="auto"/>
                      <w:kern w:val="0"/>
                      <w:szCs w:val="21"/>
                      <w:highlight w:val="none"/>
                    </w:rPr>
                    <w:t xml:space="preserve">0.311 </w:t>
                  </w:r>
                </w:p>
              </w:tc>
              <w:tc>
                <w:tcPr>
                  <w:tcW w:w="1614" w:type="dxa"/>
                  <w:vAlign w:val="center"/>
                </w:tcPr>
                <w:p>
                  <w:pPr>
                    <w:widowControl/>
                    <w:jc w:val="center"/>
                    <w:textAlignment w:val="center"/>
                    <w:rPr>
                      <w:color w:val="auto"/>
                      <w:kern w:val="0"/>
                      <w:szCs w:val="21"/>
                      <w:highlight w:val="none"/>
                    </w:rPr>
                  </w:pPr>
                  <w:r>
                    <w:rPr>
                      <w:color w:val="auto"/>
                      <w:kern w:val="0"/>
                      <w:szCs w:val="21"/>
                      <w:highlight w:val="none"/>
                    </w:rPr>
                    <w:t xml:space="preserve">0.037 </w:t>
                  </w:r>
                </w:p>
              </w:tc>
              <w:tc>
                <w:tcPr>
                  <w:tcW w:w="1614" w:type="dxa"/>
                  <w:vAlign w:val="center"/>
                </w:tcPr>
                <w:p>
                  <w:pPr>
                    <w:widowControl/>
                    <w:jc w:val="center"/>
                    <w:textAlignment w:val="center"/>
                    <w:rPr>
                      <w:color w:val="auto"/>
                      <w:kern w:val="0"/>
                      <w:szCs w:val="21"/>
                      <w:highlight w:val="none"/>
                    </w:rPr>
                  </w:pPr>
                  <w:r>
                    <w:rPr>
                      <w:color w:val="auto"/>
                      <w:kern w:val="0"/>
                      <w:szCs w:val="21"/>
                      <w:highlight w:val="none"/>
                    </w:rPr>
                    <w:t xml:space="preserve">0.030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904" w:type="dxa"/>
                  <w:vMerge w:val="continue"/>
                  <w:vAlign w:val="center"/>
                </w:tcPr>
                <w:p>
                  <w:pPr>
                    <w:jc w:val="center"/>
                    <w:rPr>
                      <w:color w:val="auto"/>
                      <w:szCs w:val="21"/>
                      <w:highlight w:val="none"/>
                    </w:rPr>
                  </w:pPr>
                </w:p>
              </w:tc>
              <w:tc>
                <w:tcPr>
                  <w:tcW w:w="1310" w:type="dxa"/>
                  <w:vAlign w:val="center"/>
                </w:tcPr>
                <w:p>
                  <w:pPr>
                    <w:widowControl/>
                    <w:jc w:val="center"/>
                    <w:textAlignment w:val="center"/>
                    <w:rPr>
                      <w:color w:val="auto"/>
                      <w:szCs w:val="21"/>
                      <w:highlight w:val="none"/>
                    </w:rPr>
                  </w:pPr>
                  <w:r>
                    <w:rPr>
                      <w:color w:val="auto"/>
                      <w:kern w:val="0"/>
                      <w:szCs w:val="21"/>
                      <w:highlight w:val="none"/>
                    </w:rPr>
                    <w:t>20</w:t>
                  </w:r>
                  <w:r>
                    <w:rPr>
                      <w:rFonts w:hint="eastAsia"/>
                      <w:color w:val="auto"/>
                      <w:kern w:val="0"/>
                      <w:szCs w:val="21"/>
                      <w:highlight w:val="none"/>
                    </w:rPr>
                    <w:t>35</w:t>
                  </w:r>
                  <w:r>
                    <w:rPr>
                      <w:color w:val="auto"/>
                      <w:kern w:val="0"/>
                      <w:szCs w:val="21"/>
                      <w:highlight w:val="none"/>
                    </w:rPr>
                    <w:t>年</w:t>
                  </w:r>
                </w:p>
              </w:tc>
              <w:tc>
                <w:tcPr>
                  <w:tcW w:w="1614" w:type="dxa"/>
                  <w:vAlign w:val="center"/>
                </w:tcPr>
                <w:p>
                  <w:pPr>
                    <w:widowControl/>
                    <w:jc w:val="center"/>
                    <w:textAlignment w:val="center"/>
                    <w:rPr>
                      <w:color w:val="auto"/>
                      <w:kern w:val="0"/>
                      <w:szCs w:val="21"/>
                      <w:highlight w:val="none"/>
                    </w:rPr>
                  </w:pPr>
                  <w:r>
                    <w:rPr>
                      <w:color w:val="auto"/>
                      <w:kern w:val="0"/>
                      <w:szCs w:val="21"/>
                      <w:highlight w:val="none"/>
                    </w:rPr>
                    <w:t xml:space="preserve">0.374 </w:t>
                  </w:r>
                </w:p>
              </w:tc>
              <w:tc>
                <w:tcPr>
                  <w:tcW w:w="1614" w:type="dxa"/>
                  <w:vAlign w:val="center"/>
                </w:tcPr>
                <w:p>
                  <w:pPr>
                    <w:widowControl/>
                    <w:jc w:val="center"/>
                    <w:textAlignment w:val="center"/>
                    <w:rPr>
                      <w:color w:val="auto"/>
                      <w:kern w:val="0"/>
                      <w:szCs w:val="21"/>
                      <w:highlight w:val="none"/>
                    </w:rPr>
                  </w:pPr>
                  <w:r>
                    <w:rPr>
                      <w:color w:val="auto"/>
                      <w:kern w:val="0"/>
                      <w:szCs w:val="21"/>
                      <w:highlight w:val="none"/>
                    </w:rPr>
                    <w:t xml:space="preserve">0.045 </w:t>
                  </w:r>
                </w:p>
              </w:tc>
              <w:tc>
                <w:tcPr>
                  <w:tcW w:w="1614" w:type="dxa"/>
                  <w:vAlign w:val="center"/>
                </w:tcPr>
                <w:p>
                  <w:pPr>
                    <w:widowControl/>
                    <w:jc w:val="center"/>
                    <w:textAlignment w:val="center"/>
                    <w:rPr>
                      <w:color w:val="auto"/>
                      <w:kern w:val="0"/>
                      <w:szCs w:val="21"/>
                      <w:highlight w:val="none"/>
                    </w:rPr>
                  </w:pPr>
                  <w:r>
                    <w:rPr>
                      <w:color w:val="auto"/>
                      <w:kern w:val="0"/>
                      <w:szCs w:val="21"/>
                      <w:highlight w:val="none"/>
                    </w:rPr>
                    <w:t xml:space="preserve">0.036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904" w:type="dxa"/>
                  <w:vMerge w:val="continue"/>
                  <w:vAlign w:val="center"/>
                </w:tcPr>
                <w:p>
                  <w:pPr>
                    <w:jc w:val="center"/>
                    <w:rPr>
                      <w:color w:val="auto"/>
                      <w:szCs w:val="21"/>
                      <w:highlight w:val="none"/>
                    </w:rPr>
                  </w:pPr>
                </w:p>
              </w:tc>
              <w:tc>
                <w:tcPr>
                  <w:tcW w:w="1310" w:type="dxa"/>
                  <w:vAlign w:val="center"/>
                </w:tcPr>
                <w:p>
                  <w:pPr>
                    <w:widowControl/>
                    <w:jc w:val="center"/>
                    <w:textAlignment w:val="center"/>
                    <w:rPr>
                      <w:color w:val="auto"/>
                      <w:szCs w:val="21"/>
                      <w:highlight w:val="none"/>
                    </w:rPr>
                  </w:pPr>
                  <w:r>
                    <w:rPr>
                      <w:color w:val="auto"/>
                      <w:kern w:val="0"/>
                      <w:szCs w:val="21"/>
                      <w:highlight w:val="none"/>
                    </w:rPr>
                    <w:t>20</w:t>
                  </w:r>
                  <w:r>
                    <w:rPr>
                      <w:rFonts w:hint="eastAsia"/>
                      <w:color w:val="auto"/>
                      <w:kern w:val="0"/>
                      <w:szCs w:val="21"/>
                      <w:highlight w:val="none"/>
                    </w:rPr>
                    <w:t>40</w:t>
                  </w:r>
                  <w:r>
                    <w:rPr>
                      <w:color w:val="auto"/>
                      <w:kern w:val="0"/>
                      <w:szCs w:val="21"/>
                      <w:highlight w:val="none"/>
                    </w:rPr>
                    <w:t>年</w:t>
                  </w:r>
                </w:p>
              </w:tc>
              <w:tc>
                <w:tcPr>
                  <w:tcW w:w="1614" w:type="dxa"/>
                  <w:vAlign w:val="center"/>
                </w:tcPr>
                <w:p>
                  <w:pPr>
                    <w:widowControl/>
                    <w:jc w:val="center"/>
                    <w:textAlignment w:val="center"/>
                    <w:rPr>
                      <w:color w:val="auto"/>
                      <w:kern w:val="0"/>
                      <w:szCs w:val="21"/>
                      <w:highlight w:val="none"/>
                    </w:rPr>
                  </w:pPr>
                  <w:r>
                    <w:rPr>
                      <w:color w:val="auto"/>
                      <w:kern w:val="0"/>
                      <w:szCs w:val="21"/>
                      <w:highlight w:val="none"/>
                    </w:rPr>
                    <w:t xml:space="preserve">0.486 </w:t>
                  </w:r>
                </w:p>
              </w:tc>
              <w:tc>
                <w:tcPr>
                  <w:tcW w:w="1614" w:type="dxa"/>
                  <w:vAlign w:val="center"/>
                </w:tcPr>
                <w:p>
                  <w:pPr>
                    <w:widowControl/>
                    <w:jc w:val="center"/>
                    <w:textAlignment w:val="center"/>
                    <w:rPr>
                      <w:color w:val="auto"/>
                      <w:kern w:val="0"/>
                      <w:szCs w:val="21"/>
                      <w:highlight w:val="none"/>
                    </w:rPr>
                  </w:pPr>
                  <w:r>
                    <w:rPr>
                      <w:color w:val="auto"/>
                      <w:kern w:val="0"/>
                      <w:szCs w:val="21"/>
                      <w:highlight w:val="none"/>
                    </w:rPr>
                    <w:t xml:space="preserve">0.058 </w:t>
                  </w:r>
                </w:p>
              </w:tc>
              <w:tc>
                <w:tcPr>
                  <w:tcW w:w="1614" w:type="dxa"/>
                  <w:vAlign w:val="center"/>
                </w:tcPr>
                <w:p>
                  <w:pPr>
                    <w:widowControl/>
                    <w:jc w:val="center"/>
                    <w:textAlignment w:val="center"/>
                    <w:rPr>
                      <w:color w:val="auto"/>
                      <w:kern w:val="0"/>
                      <w:szCs w:val="21"/>
                      <w:highlight w:val="none"/>
                    </w:rPr>
                  </w:pPr>
                  <w:r>
                    <w:rPr>
                      <w:color w:val="auto"/>
                      <w:kern w:val="0"/>
                      <w:szCs w:val="21"/>
                      <w:highlight w:val="none"/>
                    </w:rPr>
                    <w:t xml:space="preserve">0.046 </w:t>
                  </w:r>
                </w:p>
              </w:tc>
            </w:tr>
          </w:tbl>
          <w:p>
            <w:pPr>
              <w:pStyle w:val="29"/>
              <w:spacing w:after="0" w:line="360" w:lineRule="auto"/>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项目营运后，各种行驶车辆排放的汽车尾气中含有一氧化碳、氮氧化物和总烃等污染物，其中以一氧化碳为主。现阶段排放标准以国六为主，燃烧较为充分，NO</w:t>
            </w:r>
            <w:r>
              <w:rPr>
                <w:rFonts w:hint="eastAsia" w:ascii="Times New Roman" w:hAnsi="Times New Roman" w:cs="Times New Roman"/>
                <w:color w:val="auto"/>
                <w:sz w:val="24"/>
                <w:szCs w:val="24"/>
                <w:highlight w:val="none"/>
                <w:vertAlign w:val="subscript"/>
              </w:rPr>
              <w:t>×</w:t>
            </w:r>
            <w:r>
              <w:rPr>
                <w:rFonts w:hint="eastAsia" w:ascii="Times New Roman" w:hAnsi="Times New Roman" w:cs="Times New Roman"/>
                <w:color w:val="auto"/>
                <w:sz w:val="24"/>
                <w:szCs w:val="24"/>
                <w:highlight w:val="none"/>
              </w:rPr>
              <w:t>和总烃等污染物排放较少，对评价范围内空气质量的影响很小。</w:t>
            </w:r>
          </w:p>
          <w:p>
            <w:pPr>
              <w:pStyle w:val="29"/>
              <w:spacing w:after="0" w:line="360" w:lineRule="auto"/>
              <w:ind w:firstLine="480" w:firstLineChars="200"/>
              <w:jc w:val="both"/>
              <w:rPr>
                <w:rFonts w:ascii="宋体" w:hAnsi="宋体" w:cs="宋体"/>
                <w:bCs/>
                <w:color w:val="auto"/>
                <w:spacing w:val="-10"/>
                <w:sz w:val="24"/>
                <w:szCs w:val="24"/>
                <w:highlight w:val="none"/>
              </w:rPr>
            </w:pPr>
            <w:r>
              <w:rPr>
                <w:rFonts w:hint="eastAsia" w:ascii="Times New Roman" w:hAnsi="Times New Roman" w:cs="Times New Roman"/>
                <w:color w:val="auto"/>
                <w:sz w:val="24"/>
                <w:szCs w:val="24"/>
                <w:highlight w:val="none"/>
              </w:rPr>
              <w:t>另一方面，随着液化天然气、电力及混合动力等新能源在机动车上应用的推广以及机动车尾气排放标准的日益严格，机动车排放的污染物总量和城市道路大气污染物源强将进一步减小，对周边环境影响较小。</w:t>
            </w:r>
          </w:p>
          <w:p>
            <w:pPr>
              <w:wordWrap w:val="0"/>
              <w:spacing w:line="360" w:lineRule="auto"/>
              <w:ind w:left="480"/>
              <w:rPr>
                <w:b/>
                <w:bCs/>
                <w:color w:val="auto"/>
                <w:sz w:val="24"/>
                <w:highlight w:val="none"/>
              </w:rPr>
            </w:pPr>
            <w:r>
              <w:rPr>
                <w:b/>
                <w:bCs/>
                <w:color w:val="auto"/>
                <w:sz w:val="24"/>
                <w:highlight w:val="none"/>
              </w:rPr>
              <w:t>2、水环境影响分析</w:t>
            </w:r>
          </w:p>
          <w:p>
            <w:pPr>
              <w:pStyle w:val="29"/>
              <w:spacing w:after="0" w:line="360" w:lineRule="auto"/>
              <w:ind w:firstLine="480" w:firstLineChars="20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营运期水环境污染源主要为降雨冲刷路面产生的路面及桥面径流污水等。</w:t>
            </w:r>
          </w:p>
          <w:p>
            <w:pPr>
              <w:pStyle w:val="29"/>
              <w:spacing w:after="0" w:line="360" w:lineRule="auto"/>
              <w:ind w:firstLine="480" w:firstLineChars="200"/>
              <w:jc w:val="both"/>
              <w:rPr>
                <w:rFonts w:ascii="宋体" w:hAnsi="宋体" w:cs="宋体"/>
                <w:bCs/>
                <w:color w:val="auto"/>
                <w:spacing w:val="-10"/>
                <w:sz w:val="24"/>
                <w:szCs w:val="24"/>
                <w:highlight w:val="none"/>
              </w:rPr>
            </w:pPr>
            <w:r>
              <w:rPr>
                <w:rFonts w:ascii="Times New Roman" w:hAnsi="Times New Roman" w:cs="Times New Roman"/>
                <w:color w:val="auto"/>
                <w:sz w:val="24"/>
                <w:szCs w:val="24"/>
                <w:highlight w:val="none"/>
              </w:rPr>
              <w:t>根据国家环保部华南环科所对南方地区路面径流污染情况的研究，路面径流污染物以COD、SS和石油类为主，120分钟内路面径流主要污染物的平均浓度分别为COD45.5mg/L、SS100mg/L、石油类11.25mg/L。路面径流在降雨开始到形成径流的30分钟内雨水中的悬浮物和油类物质比较多，30分钟后随着降雨时间的延长，污染物浓度下降较快。一般来说，在降雨初期，路面径流从道路边沟出口进入水体后，将在径流落水点附近的局部小范围内造成污染物浓度的瞬时升高，但在向下游流动的过程中，随着水体的湍流混合，污染物迅速在整个断面上混合均匀。根据江苏省类似地区的预测计算结果，路面径流携带污染物对水体水质的影响甚微，一般水体中污染物的增幅小于2%。项目沿线河流水环境功能多为工业、农业用水，径流中的污染物平均浓度维持在较低的水平</w:t>
            </w:r>
            <w:r>
              <w:rPr>
                <w:rFonts w:hint="eastAsia" w:ascii="Times New Roman" w:hAnsi="Times New Roman" w:cs="Times New Roman"/>
                <w:color w:val="auto"/>
                <w:sz w:val="24"/>
                <w:szCs w:val="24"/>
                <w:highlight w:val="none"/>
              </w:rPr>
              <w:t>。</w:t>
            </w:r>
          </w:p>
          <w:p>
            <w:pPr>
              <w:wordWrap w:val="0"/>
              <w:spacing w:line="360" w:lineRule="auto"/>
              <w:ind w:left="480"/>
              <w:rPr>
                <w:b/>
                <w:bCs/>
                <w:color w:val="auto"/>
                <w:sz w:val="24"/>
                <w:highlight w:val="none"/>
              </w:rPr>
            </w:pPr>
            <w:r>
              <w:rPr>
                <w:b/>
                <w:bCs/>
                <w:color w:val="auto"/>
                <w:sz w:val="24"/>
                <w:highlight w:val="none"/>
              </w:rPr>
              <w:t>3、固废影响分析</w:t>
            </w:r>
          </w:p>
          <w:p>
            <w:pPr>
              <w:wordWrap w:val="0"/>
              <w:spacing w:line="360" w:lineRule="auto"/>
              <w:ind w:firstLine="480" w:firstLineChars="200"/>
              <w:rPr>
                <w:color w:val="auto"/>
                <w:sz w:val="24"/>
                <w:highlight w:val="none"/>
              </w:rPr>
            </w:pPr>
            <w:r>
              <w:rPr>
                <w:color w:val="auto"/>
                <w:sz w:val="24"/>
                <w:highlight w:val="none"/>
              </w:rPr>
              <w:t>道路运营期产生的垃圾成分较为简单，主要沿线车辆随意丢弃的果皮、纸张和塑料包装等，垃圾产生量相对较小，毒害性低，在市政环卫部门定期清理的条件下不会对环境产生不利影响。</w:t>
            </w:r>
          </w:p>
          <w:p>
            <w:pPr>
              <w:wordWrap w:val="0"/>
              <w:spacing w:line="360" w:lineRule="auto"/>
              <w:ind w:left="480"/>
              <w:rPr>
                <w:b/>
                <w:bCs/>
                <w:color w:val="auto"/>
                <w:sz w:val="24"/>
                <w:highlight w:val="none"/>
              </w:rPr>
            </w:pPr>
            <w:r>
              <w:rPr>
                <w:b/>
                <w:bCs/>
                <w:color w:val="auto"/>
                <w:sz w:val="24"/>
                <w:highlight w:val="none"/>
              </w:rPr>
              <w:t>4、声环境影响分析</w:t>
            </w:r>
          </w:p>
          <w:p>
            <w:pPr>
              <w:wordWrap w:val="0"/>
              <w:spacing w:line="360" w:lineRule="auto"/>
              <w:ind w:firstLine="480" w:firstLineChars="200"/>
              <w:outlineLvl w:val="1"/>
              <w:rPr>
                <w:color w:val="auto"/>
                <w:sz w:val="24"/>
                <w:highlight w:val="none"/>
              </w:rPr>
            </w:pPr>
            <w:r>
              <w:rPr>
                <w:rFonts w:hint="eastAsia"/>
                <w:color w:val="auto"/>
                <w:sz w:val="24"/>
                <w:highlight w:val="none"/>
              </w:rPr>
              <w:t>（1）</w:t>
            </w:r>
            <w:r>
              <w:rPr>
                <w:color w:val="auto"/>
                <w:sz w:val="24"/>
                <w:highlight w:val="none"/>
              </w:rPr>
              <w:t>本项目使用NoiseSystem软件进行噪声预测，根据交通噪声水平衰减预测结果（噪声专项报告表4-</w:t>
            </w:r>
            <w:r>
              <w:rPr>
                <w:rFonts w:hint="eastAsia"/>
                <w:color w:val="auto"/>
                <w:sz w:val="24"/>
                <w:highlight w:val="none"/>
              </w:rPr>
              <w:t>6</w:t>
            </w:r>
            <w:r>
              <w:rPr>
                <w:color w:val="auto"/>
                <w:sz w:val="24"/>
                <w:highlight w:val="none"/>
              </w:rPr>
              <w:t>）可知：</w:t>
            </w:r>
          </w:p>
          <w:p>
            <w:pPr>
              <w:pStyle w:val="23"/>
              <w:spacing w:line="360" w:lineRule="auto"/>
              <w:ind w:firstLine="480" w:firstLineChars="200"/>
              <w:rPr>
                <w:rFonts w:hint="eastAsia"/>
                <w:color w:val="auto"/>
                <w:highlight w:val="none"/>
                <w:lang w:eastAsia="zh-CN"/>
              </w:rPr>
            </w:pPr>
            <w:r>
              <w:rPr>
                <w:rFonts w:hint="eastAsia"/>
                <w:color w:val="auto"/>
                <w:highlight w:val="none"/>
              </w:rPr>
              <w:t>扬东路西延，本项目根据《市政府关于印发苏州市市区声环境功能区划分规定》（苏府[2019]19号）相邻区域为</w:t>
            </w:r>
            <w:r>
              <w:rPr>
                <w:rFonts w:hint="eastAsia"/>
                <w:color w:val="auto"/>
                <w:highlight w:val="none"/>
                <w:lang w:val="en-US" w:eastAsia="zh-CN"/>
              </w:rPr>
              <w:t>2</w:t>
            </w:r>
            <w:r>
              <w:rPr>
                <w:rFonts w:hint="eastAsia"/>
                <w:color w:val="auto"/>
                <w:highlight w:val="none"/>
              </w:rPr>
              <w:t>类声环境功能区。敏感点面向</w:t>
            </w:r>
            <w:r>
              <w:rPr>
                <w:rFonts w:hint="eastAsia"/>
                <w:color w:val="auto"/>
                <w:highlight w:val="none"/>
                <w:lang w:val="en-US" w:eastAsia="zh-CN"/>
              </w:rPr>
              <w:t>扬东路</w:t>
            </w:r>
            <w:r>
              <w:rPr>
                <w:rFonts w:hint="eastAsia"/>
                <w:color w:val="auto"/>
                <w:highlight w:val="none"/>
              </w:rPr>
              <w:t>临街建筑执行4a标准点位中，运营期近中远期均不超标；</w:t>
            </w:r>
            <w:r>
              <w:rPr>
                <w:color w:val="auto"/>
                <w:highlight w:val="none"/>
              </w:rPr>
              <w:t>在执行4a类标准的预测点位中，中</w:t>
            </w:r>
            <w:r>
              <w:rPr>
                <w:rFonts w:hint="eastAsia"/>
                <w:color w:val="auto"/>
                <w:highlight w:val="none"/>
              </w:rPr>
              <w:t>期夜间道路10m范围、</w:t>
            </w:r>
            <w:r>
              <w:rPr>
                <w:color w:val="auto"/>
                <w:highlight w:val="none"/>
              </w:rPr>
              <w:t>远期</w:t>
            </w:r>
            <w:r>
              <w:rPr>
                <w:rFonts w:hint="eastAsia"/>
                <w:color w:val="auto"/>
                <w:highlight w:val="none"/>
              </w:rPr>
              <w:t>夜间道路10m范围无法达到4a标准（夜间55dB），其他时间段均符合标准</w:t>
            </w:r>
            <w:r>
              <w:rPr>
                <w:rFonts w:hint="eastAsia"/>
                <w:color w:val="auto"/>
                <w:highlight w:val="none"/>
                <w:lang w:eastAsia="zh-CN"/>
              </w:rPr>
              <w:t>。</w:t>
            </w:r>
          </w:p>
          <w:p>
            <w:pPr>
              <w:pStyle w:val="23"/>
              <w:spacing w:line="360" w:lineRule="auto"/>
              <w:ind w:firstLine="480" w:firstLineChars="200"/>
              <w:rPr>
                <w:color w:val="auto"/>
                <w:highlight w:val="none"/>
              </w:rPr>
            </w:pPr>
            <w:r>
              <w:rPr>
                <w:rFonts w:hint="eastAsia"/>
                <w:color w:val="auto"/>
                <w:highlight w:val="none"/>
              </w:rPr>
              <w:t>本项目两侧规划为</w:t>
            </w:r>
            <w:r>
              <w:rPr>
                <w:rFonts w:hint="eastAsia"/>
                <w:color w:val="auto"/>
                <w:sz w:val="24"/>
                <w:highlight w:val="none"/>
                <w:lang w:val="en-US" w:eastAsia="zh-CN"/>
              </w:rPr>
              <w:t>商业设施用地</w:t>
            </w:r>
            <w:r>
              <w:rPr>
                <w:rFonts w:hint="eastAsia"/>
                <w:color w:val="auto"/>
                <w:highlight w:val="none"/>
              </w:rPr>
              <w:t>，建议建设单位运用</w:t>
            </w:r>
            <w:r>
              <w:rPr>
                <w:color w:val="auto"/>
                <w:highlight w:val="none"/>
              </w:rPr>
              <w:t>科学合理</w:t>
            </w:r>
            <w:r>
              <w:rPr>
                <w:rFonts w:hint="eastAsia"/>
                <w:color w:val="auto"/>
                <w:highlight w:val="none"/>
              </w:rPr>
              <w:t>交通管制措施、在道路与受声点之间种植绿化带，等措施</w:t>
            </w:r>
            <w:r>
              <w:rPr>
                <w:rFonts w:hint="eastAsia"/>
                <w:color w:val="auto"/>
                <w:highlight w:val="none"/>
                <w:lang w:eastAsia="zh-CN"/>
              </w:rPr>
              <w:t>，</w:t>
            </w:r>
            <w:r>
              <w:rPr>
                <w:rFonts w:hint="eastAsia"/>
                <w:color w:val="auto"/>
                <w:highlight w:val="none"/>
              </w:rPr>
              <w:t>进一步减少道路噪声对周围环境的影响。</w:t>
            </w:r>
          </w:p>
          <w:p>
            <w:pPr>
              <w:wordWrap w:val="0"/>
              <w:spacing w:line="360" w:lineRule="auto"/>
              <w:ind w:firstLine="480" w:firstLineChars="200"/>
              <w:outlineLvl w:val="1"/>
              <w:rPr>
                <w:color w:val="auto"/>
                <w:sz w:val="24"/>
                <w:highlight w:val="none"/>
              </w:rPr>
            </w:pPr>
            <w:r>
              <w:rPr>
                <w:rFonts w:hint="eastAsia"/>
                <w:color w:val="auto"/>
                <w:sz w:val="24"/>
                <w:highlight w:val="none"/>
              </w:rPr>
              <w:t>具体分析过程见噪声专项。</w:t>
            </w:r>
          </w:p>
          <w:p>
            <w:pPr>
              <w:pStyle w:val="23"/>
              <w:spacing w:line="360" w:lineRule="auto"/>
              <w:ind w:firstLine="482" w:firstLineChars="200"/>
              <w:jc w:val="both"/>
              <w:rPr>
                <w:b/>
                <w:bCs/>
                <w:color w:val="auto"/>
                <w:highlight w:val="none"/>
              </w:rPr>
            </w:pPr>
            <w:r>
              <w:rPr>
                <w:b/>
                <w:bCs/>
                <w:color w:val="auto"/>
                <w:highlight w:val="none"/>
              </w:rPr>
              <w:t>5、营运期</w:t>
            </w:r>
            <w:r>
              <w:rPr>
                <w:rFonts w:hint="eastAsia"/>
                <w:b/>
                <w:bCs/>
                <w:color w:val="auto"/>
                <w:highlight w:val="none"/>
              </w:rPr>
              <w:t>生态</w:t>
            </w:r>
            <w:r>
              <w:rPr>
                <w:b/>
                <w:bCs/>
                <w:color w:val="auto"/>
                <w:highlight w:val="none"/>
              </w:rPr>
              <w:t>环境影响分析</w:t>
            </w:r>
          </w:p>
          <w:p>
            <w:pPr>
              <w:pStyle w:val="23"/>
              <w:spacing w:line="360" w:lineRule="auto"/>
              <w:ind w:firstLine="480" w:firstLineChars="200"/>
              <w:jc w:val="both"/>
              <w:rPr>
                <w:color w:val="auto"/>
                <w:highlight w:val="none"/>
              </w:rPr>
            </w:pPr>
            <w:r>
              <w:rPr>
                <w:rFonts w:hint="eastAsia"/>
                <w:color w:val="auto"/>
                <w:highlight w:val="none"/>
              </w:rPr>
              <w:t>本项目建成运行后，对生态环境的影响主要表现在项目永久占地对区域景观的影响。</w:t>
            </w:r>
          </w:p>
          <w:p>
            <w:pPr>
              <w:pStyle w:val="23"/>
              <w:spacing w:line="360" w:lineRule="auto"/>
              <w:ind w:firstLine="480" w:firstLineChars="200"/>
              <w:jc w:val="both"/>
              <w:rPr>
                <w:color w:val="auto"/>
                <w:highlight w:val="none"/>
              </w:rPr>
            </w:pPr>
            <w:r>
              <w:rPr>
                <w:rFonts w:hint="eastAsia"/>
                <w:color w:val="auto"/>
                <w:highlight w:val="none"/>
              </w:rPr>
              <w:t>(一) 对陆域生态的影响</w:t>
            </w:r>
          </w:p>
          <w:p>
            <w:pPr>
              <w:pStyle w:val="23"/>
              <w:spacing w:line="360" w:lineRule="auto"/>
              <w:ind w:firstLine="480" w:firstLineChars="200"/>
              <w:jc w:val="both"/>
              <w:rPr>
                <w:color w:val="auto"/>
                <w:highlight w:val="none"/>
              </w:rPr>
            </w:pPr>
            <w:r>
              <w:rPr>
                <w:rFonts w:hint="eastAsia"/>
                <w:color w:val="auto"/>
                <w:highlight w:val="none"/>
              </w:rPr>
              <w:t>(1) 植被损失</w:t>
            </w:r>
          </w:p>
          <w:p>
            <w:pPr>
              <w:pStyle w:val="23"/>
              <w:spacing w:line="360" w:lineRule="auto"/>
              <w:ind w:firstLine="480" w:firstLineChars="200"/>
              <w:jc w:val="both"/>
              <w:rPr>
                <w:color w:val="auto"/>
                <w:highlight w:val="none"/>
              </w:rPr>
            </w:pPr>
            <w:r>
              <w:rPr>
                <w:rFonts w:hint="eastAsia"/>
                <w:color w:val="auto"/>
                <w:highlight w:val="none"/>
              </w:rPr>
              <w:t>本项目工程区域现有植被主要为人工种植的绿化植被，项目营运期将由绿化部门实施绿化工程，绿地覆盖率较工程前更高，沿岸绿化带的建设可在一定程度上补偿因施工破坏的原有植被，也具有景观改造、优化环境质量的作用。</w:t>
            </w:r>
          </w:p>
          <w:p>
            <w:pPr>
              <w:pStyle w:val="23"/>
              <w:spacing w:line="360" w:lineRule="auto"/>
              <w:ind w:firstLine="480" w:firstLineChars="200"/>
              <w:jc w:val="both"/>
              <w:rPr>
                <w:color w:val="auto"/>
                <w:highlight w:val="none"/>
              </w:rPr>
            </w:pPr>
            <w:r>
              <w:rPr>
                <w:rFonts w:hint="eastAsia"/>
                <w:color w:val="auto"/>
                <w:highlight w:val="none"/>
              </w:rPr>
              <w:t>(2) 对动物生境的影响</w:t>
            </w:r>
          </w:p>
          <w:p>
            <w:pPr>
              <w:pStyle w:val="23"/>
              <w:spacing w:line="360" w:lineRule="auto"/>
              <w:ind w:firstLine="480" w:firstLineChars="200"/>
              <w:jc w:val="both"/>
              <w:rPr>
                <w:color w:val="auto"/>
                <w:highlight w:val="none"/>
              </w:rPr>
            </w:pPr>
            <w:r>
              <w:rPr>
                <w:rFonts w:hint="eastAsia"/>
                <w:color w:val="auto"/>
                <w:highlight w:val="none"/>
              </w:rPr>
              <w:t>通过调查可知，本工程区域无珍稀保护野生动植物。由于项目位于城市建成区，沿线没有自然保护区，动物多为适应性较强的常见物种，对环境要求较低。因此，项目的运营不会对动物生境产生明显的影响。</w:t>
            </w:r>
          </w:p>
          <w:p>
            <w:pPr>
              <w:pStyle w:val="23"/>
              <w:spacing w:line="360" w:lineRule="auto"/>
              <w:ind w:firstLine="480" w:firstLineChars="200"/>
              <w:jc w:val="both"/>
              <w:rPr>
                <w:color w:val="auto"/>
                <w:highlight w:val="none"/>
              </w:rPr>
            </w:pPr>
            <w:r>
              <w:rPr>
                <w:rFonts w:hint="eastAsia"/>
                <w:color w:val="auto"/>
                <w:highlight w:val="none"/>
              </w:rPr>
              <w:t>(二) 对水生生态的影响分析</w:t>
            </w:r>
          </w:p>
          <w:p>
            <w:pPr>
              <w:pStyle w:val="23"/>
              <w:spacing w:line="360" w:lineRule="auto"/>
              <w:ind w:firstLine="480" w:firstLineChars="200"/>
              <w:jc w:val="both"/>
              <w:rPr>
                <w:color w:val="auto"/>
                <w:highlight w:val="none"/>
              </w:rPr>
            </w:pPr>
            <w:r>
              <w:rPr>
                <w:rFonts w:hint="eastAsia"/>
                <w:color w:val="auto"/>
                <w:highlight w:val="none"/>
              </w:rPr>
              <w:t>本项目建成后，车行桥和人行桥均不在水体中建设桥墩，不占用水体，不改变水体生境，对水生生态基本无影响。桥面雨水通过顺桥向设置排水盲沟，在桥台处设置排水管，接入市政管网，不对水体产生影响。</w:t>
            </w:r>
          </w:p>
          <w:p>
            <w:pPr>
              <w:pStyle w:val="23"/>
              <w:spacing w:line="360" w:lineRule="auto"/>
              <w:ind w:firstLine="480" w:firstLineChars="200"/>
              <w:jc w:val="both"/>
              <w:rPr>
                <w:color w:val="auto"/>
                <w:highlight w:val="none"/>
              </w:rPr>
            </w:pPr>
            <w:r>
              <w:rPr>
                <w:rFonts w:hint="eastAsia"/>
                <w:color w:val="auto"/>
                <w:highlight w:val="none"/>
              </w:rPr>
              <w:t>(三) 水土流失对环境的影响</w:t>
            </w:r>
          </w:p>
          <w:p>
            <w:pPr>
              <w:pStyle w:val="23"/>
              <w:spacing w:line="360" w:lineRule="auto"/>
              <w:ind w:firstLine="480" w:firstLineChars="200"/>
              <w:jc w:val="both"/>
              <w:rPr>
                <w:color w:val="auto"/>
                <w:highlight w:val="none"/>
              </w:rPr>
            </w:pPr>
            <w:r>
              <w:rPr>
                <w:rFonts w:hint="eastAsia"/>
                <w:color w:val="auto"/>
                <w:highlight w:val="none"/>
              </w:rPr>
              <w:t>项目道路运营期间，路基边坡采用植草护坡或浆砌片石矩形方格网植草防护，基本不会产生新的水土流失。营运初期由于一些水保工程的功能尚未发挥，如植物处于幼苗阶段，受到雨水冲刷还会产生少量的水土流失，随着水保工程功能的日益完善，坡面植被形成，水土流失将会逐渐停止。 不良地质地段采用防治措施后，虽然还有可能发生水土流失危害，但频率会明显降低，影响较轻微。</w:t>
            </w:r>
          </w:p>
          <w:p>
            <w:pPr>
              <w:pStyle w:val="23"/>
              <w:spacing w:line="360" w:lineRule="auto"/>
              <w:ind w:firstLine="482" w:firstLineChars="200"/>
              <w:jc w:val="both"/>
              <w:rPr>
                <w:b/>
                <w:bCs/>
                <w:color w:val="auto"/>
                <w:highlight w:val="none"/>
              </w:rPr>
            </w:pPr>
            <w:r>
              <w:rPr>
                <w:rFonts w:hint="eastAsia"/>
                <w:b/>
                <w:bCs/>
                <w:color w:val="auto"/>
                <w:highlight w:val="none"/>
              </w:rPr>
              <w:t>6</w:t>
            </w:r>
            <w:r>
              <w:rPr>
                <w:b/>
                <w:bCs/>
                <w:color w:val="auto"/>
                <w:highlight w:val="none"/>
              </w:rPr>
              <w:t>、</w:t>
            </w:r>
            <w:r>
              <w:rPr>
                <w:rFonts w:hint="eastAsia"/>
                <w:b/>
                <w:bCs/>
                <w:color w:val="auto"/>
                <w:highlight w:val="none"/>
              </w:rPr>
              <w:t>环境风险</w:t>
            </w:r>
            <w:r>
              <w:rPr>
                <w:b/>
                <w:bCs/>
                <w:color w:val="auto"/>
                <w:highlight w:val="none"/>
              </w:rPr>
              <w:t>分析</w:t>
            </w:r>
          </w:p>
          <w:p>
            <w:pPr>
              <w:wordWrap w:val="0"/>
              <w:spacing w:line="360" w:lineRule="auto"/>
              <w:ind w:firstLine="480" w:firstLineChars="200"/>
              <w:outlineLvl w:val="1"/>
              <w:rPr>
                <w:color w:val="auto"/>
                <w:sz w:val="24"/>
                <w:highlight w:val="none"/>
              </w:rPr>
            </w:pPr>
            <w:r>
              <w:rPr>
                <w:color w:val="auto"/>
                <w:sz w:val="24"/>
                <w:highlight w:val="none"/>
              </w:rPr>
              <w:t>项目建成运营后将不可避免的运输化学危险品或有毒有害物质。如果化学危险品和有毒有害物质在运输过程中发生事故，造成危险品泄漏甚至爆炸，将对道路沿线的大气和水环境造成严重影响。因此为保证化学危险品运输的安全，防止事故造成的环境污染，本次对道路工程运营期的危险品运输风险进行分析。</w:t>
            </w:r>
          </w:p>
          <w:p>
            <w:pPr>
              <w:wordWrap w:val="0"/>
              <w:spacing w:line="360" w:lineRule="auto"/>
              <w:ind w:firstLine="480" w:firstLineChars="200"/>
              <w:outlineLvl w:val="1"/>
              <w:rPr>
                <w:color w:val="auto"/>
                <w:sz w:val="24"/>
                <w:highlight w:val="none"/>
              </w:rPr>
            </w:pPr>
            <w:r>
              <w:rPr>
                <w:color w:val="auto"/>
                <w:sz w:val="24"/>
                <w:highlight w:val="none"/>
              </w:rPr>
              <w:t>考虑到可能发生的风险，应采取以下风险防范措施。防范危险品运输风险事故的最主要措施是要严格执行国家和行业部门颁布的危化品运输相关法规，相关法规有：《危险化学品安全管理条例》、《道路危险货物运输管理规定》、《中华人民共和国民用爆炸物品管理条例》、《中华人民共和国放射性同位素与射线装置放射保护条例》等。</w:t>
            </w:r>
          </w:p>
          <w:p>
            <w:pPr>
              <w:wordWrap w:val="0"/>
              <w:spacing w:line="360" w:lineRule="auto"/>
              <w:ind w:firstLine="480" w:firstLineChars="200"/>
              <w:outlineLvl w:val="1"/>
              <w:rPr>
                <w:color w:val="auto"/>
                <w:sz w:val="24"/>
                <w:highlight w:val="none"/>
              </w:rPr>
            </w:pPr>
            <w:r>
              <w:rPr>
                <w:color w:val="auto"/>
                <w:sz w:val="24"/>
                <w:highlight w:val="none"/>
              </w:rPr>
              <w:t>结合工程道路运输实际，拟采取的措施如下：</w:t>
            </w:r>
          </w:p>
          <w:p>
            <w:pPr>
              <w:wordWrap w:val="0"/>
              <w:spacing w:line="360" w:lineRule="auto"/>
              <w:ind w:firstLine="480" w:firstLineChars="200"/>
              <w:outlineLvl w:val="1"/>
              <w:rPr>
                <w:color w:val="auto"/>
                <w:sz w:val="24"/>
                <w:highlight w:val="none"/>
              </w:rPr>
            </w:pPr>
            <w:r>
              <w:rPr>
                <w:color w:val="auto"/>
                <w:sz w:val="24"/>
                <w:highlight w:val="none"/>
              </w:rPr>
              <w:t>（1）加强对从事危化品运输业主、驾驶员及押运员的安全教育和运输车辆的安全检查，使从业人员具有高度责任感，使车辆处于完好的技术状态；</w:t>
            </w:r>
          </w:p>
          <w:p>
            <w:pPr>
              <w:wordWrap w:val="0"/>
              <w:spacing w:line="360" w:lineRule="auto"/>
              <w:ind w:firstLine="480" w:firstLineChars="200"/>
              <w:outlineLvl w:val="1"/>
              <w:rPr>
                <w:color w:val="auto"/>
                <w:sz w:val="24"/>
                <w:highlight w:val="none"/>
              </w:rPr>
            </w:pPr>
            <w:r>
              <w:rPr>
                <w:color w:val="auto"/>
                <w:sz w:val="24"/>
                <w:highlight w:val="none"/>
              </w:rPr>
              <w:t>（2）危险品运输车辆在进入本道路工程前，应向当地公路运输管理部门领取申报表，并接受公安或交通管理部门的抽查，提交申报表。申报表主要报告项目有危化品运输执照号码、货物品种、等级和编号、收发货人姓名、装卸地点、货物特性等。危险品运输车辆一般应安排在交通量较少时段（如夜间）通行，在气候不好的条件下应禁止其上路，从而加强对运输危险品的车辆进行有效管理；</w:t>
            </w:r>
          </w:p>
          <w:p>
            <w:pPr>
              <w:wordWrap w:val="0"/>
              <w:spacing w:line="360" w:lineRule="auto"/>
              <w:ind w:firstLine="480" w:firstLineChars="200"/>
              <w:outlineLvl w:val="1"/>
              <w:rPr>
                <w:color w:val="auto"/>
                <w:sz w:val="24"/>
                <w:highlight w:val="none"/>
              </w:rPr>
            </w:pPr>
            <w:r>
              <w:rPr>
                <w:color w:val="auto"/>
                <w:sz w:val="24"/>
                <w:highlight w:val="none"/>
              </w:rPr>
              <w:t>（3）实行危险品运输车辆的检查制度，对申报运输危险品的车辆进行</w:t>
            </w:r>
            <w:r>
              <w:rPr>
                <w:rFonts w:hint="eastAsia"/>
                <w:color w:val="auto"/>
                <w:sz w:val="24"/>
                <w:highlight w:val="none"/>
              </w:rPr>
              <w:t>“</w:t>
            </w:r>
            <w:r>
              <w:rPr>
                <w:color w:val="auto"/>
                <w:sz w:val="24"/>
                <w:highlight w:val="none"/>
              </w:rPr>
              <w:t>准运证</w:t>
            </w:r>
            <w:r>
              <w:rPr>
                <w:rFonts w:hint="eastAsia"/>
                <w:color w:val="auto"/>
                <w:sz w:val="24"/>
                <w:highlight w:val="none"/>
              </w:rPr>
              <w:t>”</w:t>
            </w:r>
            <w:r>
              <w:rPr>
                <w:color w:val="auto"/>
                <w:sz w:val="24"/>
                <w:highlight w:val="none"/>
              </w:rPr>
              <w:t>、</w:t>
            </w:r>
            <w:r>
              <w:rPr>
                <w:rFonts w:hint="eastAsia"/>
                <w:color w:val="auto"/>
                <w:sz w:val="24"/>
                <w:highlight w:val="none"/>
              </w:rPr>
              <w:t>“</w:t>
            </w:r>
            <w:r>
              <w:rPr>
                <w:color w:val="auto"/>
                <w:sz w:val="24"/>
                <w:highlight w:val="none"/>
              </w:rPr>
              <w:t>驾驶员证</w:t>
            </w:r>
            <w:r>
              <w:rPr>
                <w:rFonts w:hint="eastAsia"/>
                <w:color w:val="auto"/>
                <w:sz w:val="24"/>
                <w:highlight w:val="none"/>
              </w:rPr>
              <w:t>”</w:t>
            </w:r>
            <w:r>
              <w:rPr>
                <w:color w:val="auto"/>
                <w:sz w:val="24"/>
                <w:highlight w:val="none"/>
              </w:rPr>
              <w:t>、</w:t>
            </w:r>
            <w:r>
              <w:rPr>
                <w:rFonts w:hint="eastAsia"/>
                <w:color w:val="auto"/>
                <w:sz w:val="24"/>
                <w:highlight w:val="none"/>
              </w:rPr>
              <w:t>“</w:t>
            </w:r>
            <w:r>
              <w:rPr>
                <w:color w:val="auto"/>
                <w:sz w:val="24"/>
                <w:highlight w:val="none"/>
              </w:rPr>
              <w:t>押运员证</w:t>
            </w:r>
            <w:r>
              <w:rPr>
                <w:rFonts w:hint="eastAsia"/>
                <w:color w:val="auto"/>
                <w:sz w:val="24"/>
                <w:highlight w:val="none"/>
              </w:rPr>
              <w:t>”</w:t>
            </w:r>
            <w:r>
              <w:rPr>
                <w:color w:val="auto"/>
                <w:sz w:val="24"/>
                <w:highlight w:val="none"/>
              </w:rPr>
              <w:t>和危险品运输行车路单（以下简称</w:t>
            </w:r>
            <w:r>
              <w:rPr>
                <w:rFonts w:hint="eastAsia"/>
                <w:color w:val="auto"/>
                <w:sz w:val="24"/>
                <w:highlight w:val="none"/>
              </w:rPr>
              <w:t>“</w:t>
            </w:r>
            <w:r>
              <w:rPr>
                <w:color w:val="auto"/>
                <w:sz w:val="24"/>
                <w:highlight w:val="none"/>
              </w:rPr>
              <w:t>三证一单</w:t>
            </w:r>
            <w:r>
              <w:rPr>
                <w:rFonts w:hint="eastAsia"/>
                <w:color w:val="auto"/>
                <w:sz w:val="24"/>
                <w:highlight w:val="none"/>
              </w:rPr>
              <w:t>”</w:t>
            </w:r>
            <w:r>
              <w:rPr>
                <w:color w:val="auto"/>
                <w:sz w:val="24"/>
                <w:highlight w:val="none"/>
              </w:rPr>
              <w:t>）检查，</w:t>
            </w:r>
            <w:r>
              <w:rPr>
                <w:rFonts w:hint="eastAsia"/>
                <w:color w:val="auto"/>
                <w:sz w:val="24"/>
                <w:highlight w:val="none"/>
              </w:rPr>
              <w:t>“</w:t>
            </w:r>
            <w:r>
              <w:rPr>
                <w:color w:val="auto"/>
                <w:sz w:val="24"/>
                <w:highlight w:val="none"/>
              </w:rPr>
              <w:t>三证一单</w:t>
            </w:r>
            <w:r>
              <w:rPr>
                <w:rFonts w:hint="eastAsia"/>
                <w:color w:val="auto"/>
                <w:sz w:val="24"/>
                <w:highlight w:val="none"/>
              </w:rPr>
              <w:t>”</w:t>
            </w:r>
            <w:r>
              <w:rPr>
                <w:color w:val="auto"/>
                <w:sz w:val="24"/>
                <w:highlight w:val="none"/>
              </w:rPr>
              <w:t>不全的车辆将不允许驶上公路。除证件检查外，必要时应对运输危险品的车辆进行安全检查。如《压力容器使用证》的有效性及检验合格证等，对有安全隐患的车辆进行安全检查，在未排除隐患前不允许进入本工程道路；</w:t>
            </w:r>
          </w:p>
          <w:p>
            <w:pPr>
              <w:wordWrap w:val="0"/>
              <w:spacing w:line="360" w:lineRule="auto"/>
              <w:ind w:firstLine="480" w:firstLineChars="200"/>
              <w:outlineLvl w:val="1"/>
              <w:rPr>
                <w:color w:val="auto"/>
                <w:sz w:val="24"/>
                <w:highlight w:val="none"/>
              </w:rPr>
            </w:pPr>
            <w:r>
              <w:rPr>
                <w:color w:val="auto"/>
                <w:sz w:val="24"/>
                <w:highlight w:val="none"/>
              </w:rPr>
              <w:t>（4）如运输有毒、有害物质的危险品运输车辆在本工程段行驶，发生事故导致水体或气体污染时，应及时利用公路上完善的紧急电话或移动电话及时向当地公安交通管理部门或相关路段监控通信所（中心）汇报，并及时与所在地公安、消防和环保部门取得联系，以便采取紧急应救措施；</w:t>
            </w:r>
          </w:p>
          <w:p>
            <w:pPr>
              <w:wordWrap w:val="0"/>
              <w:spacing w:line="360" w:lineRule="auto"/>
              <w:ind w:firstLine="480" w:firstLineChars="200"/>
              <w:outlineLvl w:val="1"/>
              <w:rPr>
                <w:color w:val="auto"/>
                <w:highlight w:val="none"/>
              </w:rPr>
            </w:pPr>
            <w:r>
              <w:rPr>
                <w:color w:val="auto"/>
                <w:sz w:val="24"/>
                <w:highlight w:val="none"/>
              </w:rPr>
              <w:t>（5）道路上设置危险品车辆限速标志和警示牌，提请司机谨慎驾驶；防撞护栏进行强化加固设计，设置危险品车辆限速标志和警示牌，提醒司机谨慎驾驶；另外，发生危险品泄漏时，须将对泄漏物进行收集或截留，因此，应考虑对本项目配套的雨水排水管网中，排入河水的雨水管网需设置阀门。正常情况雨水经道路两侧雨水网管收集后，排入</w:t>
            </w:r>
            <w:r>
              <w:rPr>
                <w:rFonts w:hint="eastAsia"/>
                <w:color w:val="auto"/>
                <w:sz w:val="24"/>
                <w:highlight w:val="none"/>
              </w:rPr>
              <w:t>周边</w:t>
            </w:r>
            <w:r>
              <w:rPr>
                <w:color w:val="auto"/>
                <w:sz w:val="24"/>
                <w:highlight w:val="none"/>
              </w:rPr>
              <w:t>河道；当发生风险事故时，及时关闭阀门，将事故废水截留在雨水管网中暂存，由有资质单位运走处置。事故废水严禁排入河道。</w:t>
            </w:r>
          </w:p>
          <w:p>
            <w:pPr>
              <w:wordWrap w:val="0"/>
              <w:spacing w:line="360" w:lineRule="auto"/>
              <w:ind w:firstLine="480" w:firstLineChars="200"/>
              <w:outlineLvl w:val="1"/>
              <w:rPr>
                <w:color w:val="auto"/>
                <w:sz w:val="24"/>
                <w:highlight w:val="none"/>
              </w:rPr>
            </w:pPr>
            <w:r>
              <w:rPr>
                <w:color w:val="auto"/>
                <w:sz w:val="24"/>
                <w:highlight w:val="none"/>
              </w:rPr>
              <w:t>（6）充分利用区域风险事故应急预案，加强与区域的联动。</w:t>
            </w:r>
          </w:p>
          <w:p>
            <w:pPr>
              <w:wordWrap w:val="0"/>
              <w:spacing w:line="360" w:lineRule="auto"/>
              <w:ind w:firstLine="480" w:firstLineChars="200"/>
              <w:outlineLvl w:val="1"/>
              <w:rPr>
                <w:color w:val="auto"/>
                <w:sz w:val="24"/>
                <w:highlight w:val="none"/>
              </w:rPr>
            </w:pPr>
            <w:r>
              <w:rPr>
                <w:color w:val="auto"/>
                <w:sz w:val="24"/>
                <w:highlight w:val="none"/>
              </w:rPr>
              <w:t>（7）交通、公安、环保部门要相互配合，提高快速反应、处置能力，要改善和提高相应的装备水平。</w:t>
            </w:r>
          </w:p>
          <w:p>
            <w:pPr>
              <w:wordWrap w:val="0"/>
              <w:spacing w:line="360" w:lineRule="auto"/>
              <w:ind w:firstLine="480" w:firstLineChars="200"/>
              <w:outlineLvl w:val="1"/>
              <w:rPr>
                <w:rFonts w:ascii="宋体" w:hAnsi="宋体" w:cs="宋体"/>
                <w:bCs/>
                <w:color w:val="auto"/>
                <w:spacing w:val="-10"/>
                <w:szCs w:val="21"/>
                <w:highlight w:val="none"/>
              </w:rPr>
            </w:pPr>
            <w:r>
              <w:rPr>
                <w:color w:val="auto"/>
                <w:sz w:val="24"/>
                <w:highlight w:val="none"/>
              </w:rPr>
              <w:t>通过上述工程设计措施和营运期危险品运输管理措施，危险品运输过程对地表水体的影响可以得到有效控制。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27" w:hRule="atLeast"/>
          <w:jc w:val="center"/>
        </w:trPr>
        <w:tc>
          <w:tcPr>
            <w:tcW w:w="746" w:type="dxa"/>
            <w:tcMar>
              <w:left w:w="28" w:type="dxa"/>
              <w:right w:w="28" w:type="dxa"/>
            </w:tcMar>
            <w:vAlign w:val="center"/>
          </w:tcPr>
          <w:p>
            <w:pPr>
              <w:adjustRightInd w:val="0"/>
              <w:snapToGrid w:val="0"/>
              <w:jc w:val="center"/>
              <w:rPr>
                <w:bCs/>
                <w:color w:val="auto"/>
                <w:spacing w:val="10"/>
                <w:szCs w:val="21"/>
                <w:highlight w:val="none"/>
              </w:rPr>
            </w:pPr>
            <w:r>
              <w:rPr>
                <w:bCs/>
                <w:color w:val="auto"/>
                <w:szCs w:val="21"/>
                <w:highlight w:val="none"/>
              </w:rPr>
              <w:t>选址选线环境合理性分析</w:t>
            </w:r>
          </w:p>
        </w:tc>
        <w:tc>
          <w:tcPr>
            <w:tcW w:w="8162" w:type="dxa"/>
          </w:tcPr>
          <w:p>
            <w:pPr>
              <w:spacing w:line="360" w:lineRule="auto"/>
              <w:ind w:firstLine="480" w:firstLineChars="200"/>
              <w:rPr>
                <w:color w:val="auto"/>
                <w:sz w:val="24"/>
                <w:highlight w:val="none"/>
              </w:rPr>
            </w:pPr>
            <w:r>
              <w:rPr>
                <w:color w:val="auto"/>
                <w:sz w:val="24"/>
                <w:highlight w:val="none"/>
              </w:rPr>
              <w:t>本项目属于《产业结构调整指导目录（</w:t>
            </w:r>
            <w:r>
              <w:rPr>
                <w:rFonts w:hint="eastAsia"/>
                <w:color w:val="auto"/>
                <w:sz w:val="24"/>
                <w:highlight w:val="none"/>
              </w:rPr>
              <w:t>2024</w:t>
            </w:r>
            <w:r>
              <w:rPr>
                <w:color w:val="auto"/>
                <w:sz w:val="24"/>
                <w:highlight w:val="none"/>
              </w:rPr>
              <w:t>年本）》中</w:t>
            </w:r>
            <w:r>
              <w:rPr>
                <w:rFonts w:hint="eastAsia"/>
                <w:color w:val="auto"/>
                <w:sz w:val="24"/>
                <w:highlight w:val="none"/>
              </w:rPr>
              <w:t>“</w:t>
            </w:r>
            <w:r>
              <w:rPr>
                <w:color w:val="auto"/>
                <w:sz w:val="24"/>
                <w:highlight w:val="none"/>
              </w:rPr>
              <w:t>二十二、城镇基础设施</w:t>
            </w:r>
            <w:r>
              <w:rPr>
                <w:rFonts w:hint="eastAsia"/>
                <w:color w:val="auto"/>
                <w:sz w:val="24"/>
                <w:highlight w:val="none"/>
              </w:rPr>
              <w:t>”</w:t>
            </w:r>
            <w:r>
              <w:rPr>
                <w:color w:val="auto"/>
                <w:sz w:val="24"/>
                <w:highlight w:val="none"/>
              </w:rPr>
              <w:t>鼓励类项目，</w:t>
            </w:r>
            <w:r>
              <w:rPr>
                <w:rFonts w:hint="eastAsia"/>
                <w:color w:val="auto"/>
                <w:sz w:val="24"/>
                <w:highlight w:val="none"/>
              </w:rPr>
              <w:t>与《苏州工业园区综合交通规划（2012-2030）》总体规划相容，符合国家产业政策和园区综合交通建设规划要求。</w:t>
            </w:r>
          </w:p>
          <w:p>
            <w:pPr>
              <w:spacing w:line="360" w:lineRule="auto"/>
              <w:ind w:firstLine="480" w:firstLineChars="200"/>
              <w:rPr>
                <w:color w:val="auto"/>
                <w:sz w:val="24"/>
                <w:highlight w:val="none"/>
              </w:rPr>
            </w:pPr>
            <w:r>
              <w:rPr>
                <w:rFonts w:hint="eastAsia"/>
                <w:color w:val="auto"/>
                <w:sz w:val="24"/>
                <w:highlight w:val="none"/>
              </w:rPr>
              <w:t>工程的修建会对周围环境造成一定的影响，主要是汽车废气、汽车震动、汽车噪声、汽车扬尘、视觉阻隔、交通事故危害等，以及施工期间的影响，施工期间主要是推土机、挖土、搅拌机等机械产生的机械动力的震动和机械噪声，影响范畴在150～200米以内。</w:t>
            </w:r>
          </w:p>
          <w:p>
            <w:pPr>
              <w:spacing w:line="360" w:lineRule="auto"/>
              <w:ind w:firstLine="480" w:firstLineChars="200"/>
              <w:rPr>
                <w:color w:val="auto"/>
                <w:sz w:val="24"/>
                <w:highlight w:val="none"/>
              </w:rPr>
            </w:pPr>
            <w:r>
              <w:rPr>
                <w:rFonts w:hint="eastAsia"/>
                <w:color w:val="auto"/>
                <w:sz w:val="24"/>
                <w:highlight w:val="none"/>
              </w:rPr>
              <w:t>项目所需的沥青和混凝土全部外购，不设置沥青拌和站、混凝土拌合站；项目不设置专门的取土坑，大部分缺方由外购所得；项目不设置专门的弃土场，弃方由专用车辆运送至指定的弃渣场处置。</w:t>
            </w:r>
          </w:p>
          <w:p>
            <w:pPr>
              <w:spacing w:line="360" w:lineRule="auto"/>
              <w:ind w:firstLine="480" w:firstLineChars="200"/>
              <w:rPr>
                <w:bCs/>
                <w:color w:val="auto"/>
                <w:sz w:val="24"/>
                <w:highlight w:val="none"/>
              </w:rPr>
            </w:pPr>
            <w:r>
              <w:rPr>
                <w:rFonts w:hint="eastAsia"/>
                <w:bCs/>
                <w:color w:val="auto"/>
                <w:sz w:val="24"/>
                <w:highlight w:val="none"/>
              </w:rPr>
              <w:t>施工基础设施符合环保要求。</w:t>
            </w:r>
          </w:p>
          <w:p>
            <w:pPr>
              <w:spacing w:line="360" w:lineRule="auto"/>
              <w:ind w:firstLine="480" w:firstLineChars="200"/>
              <w:rPr>
                <w:bCs/>
                <w:color w:val="auto"/>
                <w:sz w:val="24"/>
                <w:highlight w:val="none"/>
              </w:rPr>
            </w:pPr>
            <w:r>
              <w:rPr>
                <w:bCs/>
                <w:color w:val="auto"/>
                <w:sz w:val="24"/>
                <w:highlight w:val="none"/>
              </w:rPr>
              <w:t>工程永久占地共</w:t>
            </w:r>
            <w:r>
              <w:rPr>
                <w:rFonts w:hint="eastAsia"/>
                <w:color w:val="auto"/>
                <w:sz w:val="24"/>
                <w:highlight w:val="none"/>
              </w:rPr>
              <w:t>1.2236公顷</w:t>
            </w:r>
            <w:r>
              <w:rPr>
                <w:rFonts w:hint="eastAsia"/>
                <w:bCs/>
                <w:color w:val="auto"/>
                <w:sz w:val="24"/>
                <w:highlight w:val="none"/>
              </w:rPr>
              <w:t>，</w:t>
            </w:r>
            <w:r>
              <w:rPr>
                <w:rFonts w:hint="eastAsia"/>
                <w:color w:val="auto"/>
                <w:kern w:val="0"/>
                <w:sz w:val="24"/>
                <w:highlight w:val="none"/>
              </w:rPr>
              <w:t>本项目</w:t>
            </w:r>
            <w:r>
              <w:rPr>
                <w:color w:val="auto"/>
                <w:sz w:val="24"/>
                <w:highlight w:val="none"/>
              </w:rPr>
              <w:t>占地</w:t>
            </w:r>
            <w:r>
              <w:rPr>
                <w:rFonts w:hint="eastAsia"/>
                <w:color w:val="auto"/>
                <w:sz w:val="24"/>
                <w:highlight w:val="none"/>
              </w:rPr>
              <w:t>已征用为</w:t>
            </w:r>
            <w:r>
              <w:rPr>
                <w:color w:val="auto"/>
                <w:sz w:val="24"/>
                <w:highlight w:val="none"/>
              </w:rPr>
              <w:t>建设用地</w:t>
            </w:r>
            <w:r>
              <w:rPr>
                <w:rFonts w:hint="eastAsia"/>
                <w:color w:val="auto"/>
                <w:sz w:val="24"/>
                <w:highlight w:val="none"/>
              </w:rPr>
              <w:t>、农用地及未利用地</w:t>
            </w:r>
            <w:r>
              <w:rPr>
                <w:rFonts w:hint="eastAsia"/>
                <w:bCs/>
                <w:color w:val="auto"/>
                <w:sz w:val="24"/>
                <w:highlight w:val="none"/>
              </w:rPr>
              <w:t>。</w:t>
            </w:r>
            <w:r>
              <w:rPr>
                <w:rFonts w:hint="eastAsia"/>
                <w:color w:val="auto"/>
                <w:sz w:val="24"/>
                <w:highlight w:val="none"/>
              </w:rPr>
              <w:t>本项目占用农用地0.0822公顷，建设单位应根据“占补平衡”原则，提出相应异地补偿方案，按照园区土地使用流程完成农用地转用申请并获得批复。</w:t>
            </w:r>
          </w:p>
          <w:p>
            <w:pPr>
              <w:pStyle w:val="23"/>
              <w:spacing w:line="400" w:lineRule="atLeast"/>
              <w:jc w:val="center"/>
              <w:rPr>
                <w:b/>
                <w:bCs/>
                <w:color w:val="auto"/>
                <w:sz w:val="21"/>
                <w:szCs w:val="21"/>
                <w:highlight w:val="none"/>
              </w:rPr>
            </w:pPr>
            <w:r>
              <w:rPr>
                <w:rFonts w:hint="eastAsia"/>
                <w:b/>
                <w:bCs/>
                <w:color w:val="auto"/>
                <w:sz w:val="21"/>
                <w:szCs w:val="21"/>
                <w:highlight w:val="none"/>
              </w:rPr>
              <w:t>表2-2用地面积</w:t>
            </w:r>
          </w:p>
          <w:tbl>
            <w:tblPr>
              <w:tblStyle w:val="18"/>
              <w:tblW w:w="851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78"/>
              <w:gridCol w:w="2256"/>
              <w:gridCol w:w="1757"/>
              <w:gridCol w:w="18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678" w:type="dxa"/>
                </w:tcPr>
                <w:p>
                  <w:pPr>
                    <w:autoSpaceDN w:val="0"/>
                    <w:spacing w:line="320" w:lineRule="exact"/>
                    <w:jc w:val="center"/>
                    <w:textAlignment w:val="baseline"/>
                    <w:rPr>
                      <w:color w:val="auto"/>
                      <w:szCs w:val="21"/>
                      <w:highlight w:val="none"/>
                    </w:rPr>
                  </w:pPr>
                  <w:r>
                    <w:rPr>
                      <w:color w:val="auto"/>
                      <w:szCs w:val="21"/>
                      <w:highlight w:val="none"/>
                    </w:rPr>
                    <w:t>总用地（m</w:t>
                  </w:r>
                  <w:r>
                    <w:rPr>
                      <w:color w:val="auto"/>
                      <w:szCs w:val="21"/>
                      <w:highlight w:val="none"/>
                      <w:vertAlign w:val="superscript"/>
                    </w:rPr>
                    <w:t>2</w:t>
                  </w:r>
                  <w:r>
                    <w:rPr>
                      <w:color w:val="auto"/>
                      <w:szCs w:val="21"/>
                      <w:highlight w:val="none"/>
                    </w:rPr>
                    <w:t>）</w:t>
                  </w:r>
                </w:p>
              </w:tc>
              <w:tc>
                <w:tcPr>
                  <w:tcW w:w="2256" w:type="dxa"/>
                </w:tcPr>
                <w:p>
                  <w:pPr>
                    <w:autoSpaceDN w:val="0"/>
                    <w:spacing w:line="320" w:lineRule="exact"/>
                    <w:jc w:val="center"/>
                    <w:textAlignment w:val="baseline"/>
                    <w:rPr>
                      <w:color w:val="auto"/>
                      <w:szCs w:val="21"/>
                      <w:highlight w:val="none"/>
                    </w:rPr>
                  </w:pPr>
                  <w:r>
                    <w:rPr>
                      <w:rFonts w:hint="eastAsia"/>
                      <w:color w:val="auto"/>
                      <w:szCs w:val="21"/>
                      <w:highlight w:val="none"/>
                    </w:rPr>
                    <w:t>农</w:t>
                  </w:r>
                  <w:r>
                    <w:rPr>
                      <w:color w:val="auto"/>
                      <w:szCs w:val="21"/>
                      <w:highlight w:val="none"/>
                    </w:rPr>
                    <w:t>用地（m</w:t>
                  </w:r>
                  <w:r>
                    <w:rPr>
                      <w:color w:val="auto"/>
                      <w:szCs w:val="21"/>
                      <w:highlight w:val="none"/>
                      <w:vertAlign w:val="superscript"/>
                    </w:rPr>
                    <w:t>2</w:t>
                  </w:r>
                  <w:r>
                    <w:rPr>
                      <w:color w:val="auto"/>
                      <w:szCs w:val="21"/>
                      <w:highlight w:val="none"/>
                    </w:rPr>
                    <w:t>）</w:t>
                  </w:r>
                </w:p>
              </w:tc>
              <w:tc>
                <w:tcPr>
                  <w:tcW w:w="1757" w:type="dxa"/>
                </w:tcPr>
                <w:p>
                  <w:pPr>
                    <w:autoSpaceDN w:val="0"/>
                    <w:spacing w:line="320" w:lineRule="exact"/>
                    <w:jc w:val="center"/>
                    <w:textAlignment w:val="baseline"/>
                    <w:rPr>
                      <w:color w:val="auto"/>
                      <w:szCs w:val="21"/>
                      <w:highlight w:val="none"/>
                    </w:rPr>
                  </w:pPr>
                  <w:r>
                    <w:rPr>
                      <w:rFonts w:hint="eastAsia"/>
                      <w:color w:val="auto"/>
                      <w:szCs w:val="21"/>
                      <w:highlight w:val="none"/>
                    </w:rPr>
                    <w:t>建设用地</w:t>
                  </w:r>
                  <w:r>
                    <w:rPr>
                      <w:color w:val="auto"/>
                      <w:szCs w:val="21"/>
                      <w:highlight w:val="none"/>
                    </w:rPr>
                    <w:t>（m</w:t>
                  </w:r>
                  <w:r>
                    <w:rPr>
                      <w:color w:val="auto"/>
                      <w:szCs w:val="21"/>
                      <w:highlight w:val="none"/>
                      <w:vertAlign w:val="superscript"/>
                    </w:rPr>
                    <w:t>2</w:t>
                  </w:r>
                  <w:r>
                    <w:rPr>
                      <w:color w:val="auto"/>
                      <w:szCs w:val="21"/>
                      <w:highlight w:val="none"/>
                    </w:rPr>
                    <w:t>）</w:t>
                  </w:r>
                </w:p>
              </w:tc>
              <w:tc>
                <w:tcPr>
                  <w:tcW w:w="1826" w:type="dxa"/>
                </w:tcPr>
                <w:p>
                  <w:pPr>
                    <w:autoSpaceDN w:val="0"/>
                    <w:spacing w:line="320" w:lineRule="exact"/>
                    <w:jc w:val="center"/>
                    <w:textAlignment w:val="baseline"/>
                    <w:rPr>
                      <w:color w:val="auto"/>
                      <w:szCs w:val="21"/>
                      <w:highlight w:val="none"/>
                    </w:rPr>
                  </w:pPr>
                  <w:r>
                    <w:rPr>
                      <w:rFonts w:hint="eastAsia"/>
                      <w:color w:val="auto"/>
                      <w:szCs w:val="21"/>
                      <w:highlight w:val="none"/>
                    </w:rPr>
                    <w:t>未利用地</w:t>
                  </w:r>
                  <w:r>
                    <w:rPr>
                      <w:color w:val="auto"/>
                      <w:szCs w:val="21"/>
                      <w:highlight w:val="none"/>
                    </w:rPr>
                    <w:t>（m</w:t>
                  </w:r>
                  <w:r>
                    <w:rPr>
                      <w:color w:val="auto"/>
                      <w:szCs w:val="21"/>
                      <w:highlight w:val="none"/>
                      <w:vertAlign w:val="superscript"/>
                    </w:rPr>
                    <w:t>2</w:t>
                  </w:r>
                  <w:r>
                    <w:rPr>
                      <w:color w:val="auto"/>
                      <w:szCs w:val="21"/>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678" w:type="dxa"/>
                </w:tcPr>
                <w:p>
                  <w:pPr>
                    <w:autoSpaceDN w:val="0"/>
                    <w:spacing w:line="320" w:lineRule="exact"/>
                    <w:jc w:val="center"/>
                    <w:textAlignment w:val="baseline"/>
                    <w:rPr>
                      <w:color w:val="auto"/>
                      <w:szCs w:val="21"/>
                      <w:highlight w:val="none"/>
                    </w:rPr>
                  </w:pPr>
                  <w:r>
                    <w:rPr>
                      <w:rFonts w:hint="eastAsia"/>
                      <w:color w:val="auto"/>
                      <w:szCs w:val="21"/>
                      <w:highlight w:val="none"/>
                    </w:rPr>
                    <w:t>1.2236</w:t>
                  </w:r>
                </w:p>
              </w:tc>
              <w:tc>
                <w:tcPr>
                  <w:tcW w:w="2256" w:type="dxa"/>
                </w:tcPr>
                <w:p>
                  <w:pPr>
                    <w:autoSpaceDN w:val="0"/>
                    <w:spacing w:line="320" w:lineRule="exact"/>
                    <w:jc w:val="center"/>
                    <w:textAlignment w:val="baseline"/>
                    <w:rPr>
                      <w:color w:val="auto"/>
                      <w:highlight w:val="none"/>
                    </w:rPr>
                  </w:pPr>
                  <w:r>
                    <w:rPr>
                      <w:rFonts w:hint="eastAsia"/>
                      <w:color w:val="auto"/>
                      <w:highlight w:val="none"/>
                    </w:rPr>
                    <w:t>0.0822</w:t>
                  </w:r>
                </w:p>
              </w:tc>
              <w:tc>
                <w:tcPr>
                  <w:tcW w:w="1757" w:type="dxa"/>
                </w:tcPr>
                <w:p>
                  <w:pPr>
                    <w:autoSpaceDN w:val="0"/>
                    <w:spacing w:line="320" w:lineRule="exact"/>
                    <w:jc w:val="center"/>
                    <w:textAlignment w:val="baseline"/>
                    <w:rPr>
                      <w:bCs/>
                      <w:color w:val="auto"/>
                      <w:szCs w:val="21"/>
                      <w:highlight w:val="none"/>
                    </w:rPr>
                  </w:pPr>
                  <w:r>
                    <w:rPr>
                      <w:rFonts w:hint="eastAsia"/>
                      <w:bCs/>
                      <w:color w:val="auto"/>
                      <w:szCs w:val="21"/>
                      <w:highlight w:val="none"/>
                    </w:rPr>
                    <w:t>1.0761</w:t>
                  </w:r>
                </w:p>
              </w:tc>
              <w:tc>
                <w:tcPr>
                  <w:tcW w:w="1826" w:type="dxa"/>
                </w:tcPr>
                <w:p>
                  <w:pPr>
                    <w:autoSpaceDN w:val="0"/>
                    <w:spacing w:line="320" w:lineRule="exact"/>
                    <w:jc w:val="center"/>
                    <w:textAlignment w:val="baseline"/>
                    <w:rPr>
                      <w:bCs/>
                      <w:color w:val="auto"/>
                      <w:szCs w:val="21"/>
                      <w:highlight w:val="none"/>
                    </w:rPr>
                  </w:pPr>
                  <w:r>
                    <w:rPr>
                      <w:rFonts w:hint="eastAsia"/>
                      <w:bCs/>
                      <w:color w:val="auto"/>
                      <w:szCs w:val="21"/>
                      <w:highlight w:val="none"/>
                    </w:rPr>
                    <w:t>0.0653</w:t>
                  </w:r>
                </w:p>
              </w:tc>
            </w:tr>
          </w:tbl>
          <w:p>
            <w:pPr>
              <w:pStyle w:val="23"/>
              <w:spacing w:line="360" w:lineRule="auto"/>
              <w:jc w:val="both"/>
              <w:rPr>
                <w:color w:val="auto"/>
                <w:kern w:val="2"/>
                <w:sz w:val="21"/>
                <w:szCs w:val="21"/>
                <w:highlight w:val="none"/>
              </w:rPr>
            </w:pPr>
            <w:r>
              <w:rPr>
                <w:rFonts w:hint="eastAsia"/>
                <w:color w:val="auto"/>
                <w:kern w:val="2"/>
                <w:sz w:val="21"/>
                <w:szCs w:val="21"/>
                <w:highlight w:val="none"/>
              </w:rPr>
              <w:t>*建设单位目前按照土地使用流程正在进行农用地转用申请，并承诺施工前办理完成该手续。</w:t>
            </w:r>
          </w:p>
          <w:p>
            <w:pPr>
              <w:tabs>
                <w:tab w:val="left" w:pos="5707"/>
              </w:tabs>
              <w:adjustRightInd w:val="0"/>
              <w:snapToGrid w:val="0"/>
              <w:spacing w:line="360" w:lineRule="auto"/>
              <w:ind w:firstLine="480" w:firstLineChars="200"/>
              <w:rPr>
                <w:bCs/>
                <w:color w:val="auto"/>
                <w:sz w:val="24"/>
                <w:highlight w:val="none"/>
              </w:rPr>
            </w:pPr>
            <w:r>
              <w:rPr>
                <w:bCs/>
                <w:color w:val="auto"/>
                <w:sz w:val="24"/>
                <w:highlight w:val="none"/>
              </w:rPr>
              <w:t>由环境影响预测与评价结果可知，在采取有效的生态保护与恢复措施、污染防治与治理措施、社会环境保护后，本项目对沿线生态环境、社会环境、声环境、空气环境、地表水环境的不利影响可降至可接受范围内，满足环保标准要求</w:t>
            </w:r>
            <w:r>
              <w:rPr>
                <w:rFonts w:hint="eastAsia"/>
                <w:bCs/>
                <w:color w:val="auto"/>
                <w:sz w:val="24"/>
                <w:highlight w:val="none"/>
              </w:rPr>
              <w:t>。</w:t>
            </w:r>
          </w:p>
          <w:p>
            <w:pPr>
              <w:pStyle w:val="4"/>
              <w:ind w:firstLine="0" w:firstLineChars="0"/>
              <w:rPr>
                <w:bCs/>
                <w:color w:val="auto"/>
                <w:sz w:val="24"/>
                <w:highlight w:val="none"/>
              </w:rPr>
            </w:pPr>
          </w:p>
        </w:tc>
      </w:tr>
    </w:tbl>
    <w:p>
      <w:pPr>
        <w:adjustRightInd w:val="0"/>
        <w:snapToGrid w:val="0"/>
        <w:spacing w:line="360" w:lineRule="auto"/>
        <w:rPr>
          <w:rFonts w:ascii="宋体" w:cs="宋体"/>
          <w:b/>
          <w:color w:val="auto"/>
          <w:kern w:val="0"/>
          <w:sz w:val="28"/>
          <w:szCs w:val="28"/>
          <w:highlight w:val="none"/>
        </w:rPr>
        <w:sectPr>
          <w:pgSz w:w="11907" w:h="16840"/>
          <w:pgMar w:top="1701" w:right="1531" w:bottom="1701" w:left="1531" w:header="851" w:footer="851" w:gutter="0"/>
          <w:cols w:space="720" w:num="1"/>
          <w:docGrid w:linePitch="312" w:charSpace="0"/>
        </w:sectPr>
      </w:pPr>
    </w:p>
    <w:p>
      <w:pPr>
        <w:pStyle w:val="15"/>
        <w:jc w:val="center"/>
        <w:outlineLvl w:val="0"/>
        <w:rPr>
          <w:rFonts w:ascii="Times New Roman" w:hAnsi="Times New Roman" w:eastAsia="黑体"/>
          <w:snapToGrid w:val="0"/>
          <w:color w:val="auto"/>
          <w:sz w:val="30"/>
          <w:szCs w:val="30"/>
          <w:highlight w:val="none"/>
        </w:rPr>
      </w:pPr>
      <w:bookmarkStart w:id="6" w:name="_Toc20859"/>
      <w:r>
        <w:rPr>
          <w:rFonts w:ascii="Times New Roman" w:hAnsi="Times New Roman" w:eastAsia="黑体"/>
          <w:snapToGrid w:val="0"/>
          <w:color w:val="auto"/>
          <w:sz w:val="30"/>
          <w:szCs w:val="30"/>
          <w:highlight w:val="none"/>
        </w:rPr>
        <w:t>五、主要生态环境保护措施</w:t>
      </w:r>
      <w:bookmarkEnd w:id="6"/>
    </w:p>
    <w:tbl>
      <w:tblPr>
        <w:tblStyle w:val="18"/>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1"/>
        <w:gridCol w:w="84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7" w:hRule="atLeast"/>
          <w:jc w:val="center"/>
        </w:trPr>
        <w:tc>
          <w:tcPr>
            <w:tcW w:w="753" w:type="dxa"/>
            <w:tcMar>
              <w:left w:w="28" w:type="dxa"/>
              <w:right w:w="28" w:type="dxa"/>
            </w:tcMar>
            <w:vAlign w:val="center"/>
          </w:tcPr>
          <w:p>
            <w:pPr>
              <w:adjustRightInd w:val="0"/>
              <w:snapToGrid w:val="0"/>
              <w:jc w:val="center"/>
              <w:rPr>
                <w:bCs/>
                <w:color w:val="auto"/>
                <w:szCs w:val="21"/>
                <w:highlight w:val="none"/>
              </w:rPr>
            </w:pPr>
            <w:r>
              <w:rPr>
                <w:bCs/>
                <w:color w:val="auto"/>
                <w:spacing w:val="10"/>
                <w:szCs w:val="21"/>
                <w:highlight w:val="none"/>
              </w:rPr>
              <w:t>施工期生态环境保护措施</w:t>
            </w:r>
          </w:p>
        </w:tc>
        <w:tc>
          <w:tcPr>
            <w:tcW w:w="8457" w:type="dxa"/>
          </w:tcPr>
          <w:p>
            <w:pPr>
              <w:spacing w:line="360" w:lineRule="auto"/>
              <w:ind w:firstLine="480" w:firstLineChars="200"/>
              <w:rPr>
                <w:b/>
                <w:color w:val="auto"/>
                <w:sz w:val="24"/>
                <w:highlight w:val="none"/>
              </w:rPr>
            </w:pPr>
            <w:r>
              <w:rPr>
                <w:color w:val="auto"/>
                <w:sz w:val="24"/>
                <w:highlight w:val="none"/>
              </w:rPr>
              <w:t>项目建设过程中，建设单位作为责任主体，应积极采取切实可行的生态、环境保护措施，以进一步降低项目建设对环境的不利影响，并将相关环保工程费用纳入项目总投资，及时落实资金，确保措施到位。拟采取措施具体如下：</w:t>
            </w:r>
          </w:p>
          <w:p>
            <w:pPr>
              <w:spacing w:line="360" w:lineRule="auto"/>
              <w:ind w:firstLine="482" w:firstLineChars="200"/>
              <w:rPr>
                <w:b/>
                <w:color w:val="auto"/>
                <w:sz w:val="24"/>
                <w:highlight w:val="none"/>
              </w:rPr>
            </w:pPr>
            <w:r>
              <w:rPr>
                <w:b/>
                <w:color w:val="auto"/>
                <w:sz w:val="24"/>
                <w:highlight w:val="none"/>
              </w:rPr>
              <w:t>1、废气治理措施</w:t>
            </w:r>
          </w:p>
          <w:p>
            <w:pPr>
              <w:spacing w:line="360" w:lineRule="auto"/>
              <w:ind w:firstLine="480" w:firstLineChars="200"/>
              <w:rPr>
                <w:color w:val="auto"/>
                <w:sz w:val="24"/>
                <w:highlight w:val="none"/>
              </w:rPr>
            </w:pPr>
            <w:r>
              <w:rPr>
                <w:color w:val="auto"/>
                <w:sz w:val="24"/>
                <w:highlight w:val="none"/>
              </w:rPr>
              <w:t>根据《苏州市扬尘污染防治管理办法》（2012.3.1，市政府第125号令）</w:t>
            </w:r>
            <w:r>
              <w:rPr>
                <w:rFonts w:hint="eastAsia"/>
                <w:color w:val="auto"/>
                <w:sz w:val="24"/>
                <w:highlight w:val="none"/>
              </w:rPr>
              <w:t>、</w:t>
            </w:r>
            <w:r>
              <w:rPr>
                <w:color w:val="auto"/>
                <w:sz w:val="24"/>
                <w:highlight w:val="none"/>
              </w:rPr>
              <w:t>《建筑工地扬尘防治标准》（DGJ32/J203-2016）</w:t>
            </w:r>
            <w:r>
              <w:rPr>
                <w:rFonts w:hint="eastAsia"/>
                <w:color w:val="auto"/>
                <w:sz w:val="24"/>
                <w:highlight w:val="none"/>
              </w:rPr>
              <w:t>和《苏州市2022年建设工程扬尘污染防治攻坚行动方案》（扬尘管控办〔2022〕2号）</w:t>
            </w:r>
            <w:r>
              <w:rPr>
                <w:color w:val="auto"/>
                <w:sz w:val="24"/>
                <w:highlight w:val="none"/>
              </w:rPr>
              <w:t>的相关规定，施工单位应当建立扬尘污染防治的教育和技术交底制度，将环境保护知识纳入工人上岗前的教育内容，对所有进场人员进行环保教育，作业前对工人进行扬尘污染防治的技术交底。</w:t>
            </w:r>
          </w:p>
          <w:p>
            <w:pPr>
              <w:spacing w:line="360" w:lineRule="auto"/>
              <w:ind w:firstLine="480" w:firstLineChars="200"/>
              <w:rPr>
                <w:color w:val="auto"/>
                <w:sz w:val="24"/>
                <w:highlight w:val="none"/>
              </w:rPr>
            </w:pPr>
            <w:r>
              <w:rPr>
                <w:color w:val="auto"/>
                <w:sz w:val="24"/>
                <w:highlight w:val="none"/>
              </w:rPr>
              <w:t>本项目在施工过程中必须采取覆盖、洒水、围挡等相关防尘措施，提高施工管理水平，扬尘影响范围控制在150m以内；同时需要采取及时洒水等措施，减缓污染影响。</w:t>
            </w:r>
          </w:p>
          <w:p>
            <w:pPr>
              <w:spacing w:line="360" w:lineRule="auto"/>
              <w:ind w:firstLine="480" w:firstLineChars="200"/>
              <w:rPr>
                <w:color w:val="auto"/>
                <w:sz w:val="24"/>
                <w:highlight w:val="none"/>
              </w:rPr>
            </w:pPr>
            <w:r>
              <w:rPr>
                <w:color w:val="auto"/>
                <w:sz w:val="24"/>
                <w:highlight w:val="none"/>
              </w:rPr>
              <w:t>（1）加强施工管理</w:t>
            </w:r>
          </w:p>
          <w:p>
            <w:pPr>
              <w:spacing w:line="360" w:lineRule="auto"/>
              <w:ind w:firstLine="480" w:firstLineChars="200"/>
              <w:rPr>
                <w:color w:val="auto"/>
                <w:sz w:val="24"/>
                <w:highlight w:val="none"/>
              </w:rPr>
            </w:pPr>
            <w:r>
              <w:rPr>
                <w:color w:val="auto"/>
                <w:sz w:val="24"/>
                <w:highlight w:val="none"/>
              </w:rPr>
              <w:t>提倡文明施工、集中施工、快速施工，以避免施工现场长时间、大范围扬尘。各类施工机械，建筑材料尽量按规定分类停放和堆存。</w:t>
            </w:r>
          </w:p>
          <w:p>
            <w:pPr>
              <w:spacing w:line="360" w:lineRule="auto"/>
              <w:ind w:firstLine="480" w:firstLineChars="200"/>
              <w:rPr>
                <w:color w:val="auto"/>
                <w:sz w:val="24"/>
                <w:highlight w:val="none"/>
              </w:rPr>
            </w:pPr>
            <w:r>
              <w:rPr>
                <w:color w:val="auto"/>
                <w:sz w:val="24"/>
                <w:highlight w:val="none"/>
              </w:rPr>
              <w:t>（2）施工前封闭施工场地，在施工区周边设置不低于2m的固定式硬质围栏。同时施工单位应落实专人负责围栏设施的定期维护。</w:t>
            </w:r>
          </w:p>
          <w:p>
            <w:pPr>
              <w:spacing w:line="360" w:lineRule="auto"/>
              <w:ind w:firstLine="480" w:firstLineChars="200"/>
              <w:rPr>
                <w:color w:val="auto"/>
                <w:sz w:val="24"/>
                <w:highlight w:val="none"/>
              </w:rPr>
            </w:pPr>
            <w:r>
              <w:rPr>
                <w:color w:val="auto"/>
                <w:sz w:val="24"/>
                <w:highlight w:val="none"/>
              </w:rPr>
              <w:t>（3）施工场地应定期洒水，以一天2次为宜，夏季和大风日应加大洒水量和洒水次数。遇到干燥、易起尘的土方工程作业时，应辅以洒水压尘、尽量缩短起尘作业时间。遇到大风天气，应停止土方作业，同时作业处覆以防尘网。场地清扫时，应洒水。</w:t>
            </w:r>
          </w:p>
          <w:p>
            <w:pPr>
              <w:spacing w:line="360" w:lineRule="auto"/>
              <w:ind w:firstLine="480" w:firstLineChars="200"/>
              <w:rPr>
                <w:color w:val="auto"/>
                <w:sz w:val="24"/>
                <w:highlight w:val="none"/>
              </w:rPr>
            </w:pPr>
            <w:r>
              <w:rPr>
                <w:color w:val="auto"/>
                <w:sz w:val="24"/>
                <w:highlight w:val="none"/>
              </w:rPr>
              <w:t>（4）施工过程中开挖的土方应加盖篷布遮盖。</w:t>
            </w:r>
          </w:p>
          <w:p>
            <w:pPr>
              <w:spacing w:line="360" w:lineRule="auto"/>
              <w:ind w:firstLine="480" w:firstLineChars="200"/>
              <w:rPr>
                <w:color w:val="auto"/>
                <w:sz w:val="24"/>
                <w:highlight w:val="none"/>
              </w:rPr>
            </w:pPr>
            <w:r>
              <w:rPr>
                <w:color w:val="auto"/>
                <w:sz w:val="24"/>
                <w:highlight w:val="none"/>
              </w:rPr>
              <w:t>（5）沥青运输过程和铺设前应加盖油布保存，铺设时应在拟建道路起点处张贴告示。</w:t>
            </w:r>
          </w:p>
          <w:p>
            <w:pPr>
              <w:spacing w:line="360" w:lineRule="auto"/>
              <w:ind w:firstLine="480" w:firstLineChars="200"/>
              <w:rPr>
                <w:color w:val="auto"/>
                <w:sz w:val="24"/>
                <w:highlight w:val="none"/>
              </w:rPr>
            </w:pPr>
            <w:r>
              <w:rPr>
                <w:color w:val="auto"/>
                <w:sz w:val="24"/>
                <w:highlight w:val="none"/>
              </w:rPr>
              <w:t>（6）废弃渣土和建筑垃圾堆放点均</w:t>
            </w:r>
            <w:r>
              <w:rPr>
                <w:rFonts w:hint="eastAsia"/>
                <w:color w:val="auto"/>
                <w:sz w:val="24"/>
                <w:highlight w:val="none"/>
              </w:rPr>
              <w:t>暂存</w:t>
            </w:r>
            <w:r>
              <w:rPr>
                <w:color w:val="auto"/>
                <w:sz w:val="24"/>
                <w:highlight w:val="none"/>
              </w:rPr>
              <w:t>规定的</w:t>
            </w:r>
            <w:r>
              <w:rPr>
                <w:rFonts w:hint="eastAsia"/>
                <w:color w:val="auto"/>
                <w:sz w:val="24"/>
                <w:highlight w:val="none"/>
              </w:rPr>
              <w:t>临时堆土场</w:t>
            </w:r>
            <w:r>
              <w:rPr>
                <w:color w:val="auto"/>
                <w:sz w:val="24"/>
                <w:highlight w:val="none"/>
              </w:rPr>
              <w:t>内，及时清运</w:t>
            </w:r>
            <w:r>
              <w:rPr>
                <w:rFonts w:hint="eastAsia"/>
                <w:color w:val="auto"/>
                <w:sz w:val="24"/>
                <w:highlight w:val="none"/>
              </w:rPr>
              <w:t>至指定区域</w:t>
            </w:r>
            <w:r>
              <w:rPr>
                <w:color w:val="auto"/>
                <w:sz w:val="24"/>
                <w:highlight w:val="none"/>
              </w:rPr>
              <w:t>；如堆放时间较长，应采取遮盖、喷淋、雾炮降尘等措施以防治扬尘污染。</w:t>
            </w:r>
          </w:p>
          <w:p>
            <w:pPr>
              <w:spacing w:line="360" w:lineRule="auto"/>
              <w:ind w:firstLine="480" w:firstLineChars="200"/>
              <w:rPr>
                <w:color w:val="auto"/>
                <w:sz w:val="24"/>
                <w:highlight w:val="none"/>
              </w:rPr>
            </w:pPr>
            <w:r>
              <w:rPr>
                <w:color w:val="auto"/>
                <w:sz w:val="24"/>
                <w:highlight w:val="none"/>
              </w:rPr>
              <w:t>（7）施工过程中使用的水泥、石灰、砂石等施工材料均堆放在规定的地块内，以及废弃渣土等应分类集中堆放，同时设置围挡，堆放高度应低于围挡高度，并采用篷布遮盖。</w:t>
            </w:r>
          </w:p>
          <w:p>
            <w:pPr>
              <w:spacing w:line="360" w:lineRule="auto"/>
              <w:ind w:firstLine="480" w:firstLineChars="200"/>
              <w:rPr>
                <w:color w:val="auto"/>
                <w:sz w:val="24"/>
                <w:highlight w:val="none"/>
              </w:rPr>
            </w:pPr>
            <w:r>
              <w:rPr>
                <w:color w:val="auto"/>
                <w:sz w:val="24"/>
                <w:highlight w:val="none"/>
              </w:rPr>
              <w:t>（8）运输车辆进出施工场地的路面要经常洒水，减少车辆出入产生的扬尘。施工材料、渣土和建筑垃圾运输车辆，应采用密闭车斗，并确保运输沿途不出现撒漏。</w:t>
            </w:r>
          </w:p>
          <w:p>
            <w:pPr>
              <w:spacing w:line="360" w:lineRule="auto"/>
              <w:ind w:firstLine="480" w:firstLineChars="200"/>
              <w:rPr>
                <w:color w:val="auto"/>
                <w:sz w:val="24"/>
                <w:highlight w:val="none"/>
              </w:rPr>
            </w:pPr>
            <w:r>
              <w:rPr>
                <w:color w:val="auto"/>
                <w:sz w:val="24"/>
                <w:highlight w:val="none"/>
              </w:rPr>
              <w:t>（9）运输车辆离开施工场地前，应在施工场地出口处清理轮胎和车身，减少带出的泥土。</w:t>
            </w:r>
          </w:p>
          <w:p>
            <w:pPr>
              <w:spacing w:line="360" w:lineRule="auto"/>
              <w:ind w:firstLine="480" w:firstLineChars="200"/>
              <w:rPr>
                <w:color w:val="auto"/>
                <w:sz w:val="24"/>
                <w:highlight w:val="none"/>
              </w:rPr>
            </w:pPr>
            <w:r>
              <w:rPr>
                <w:color w:val="auto"/>
                <w:sz w:val="24"/>
                <w:highlight w:val="none"/>
              </w:rPr>
              <w:t>（10）严格选用机械设备，采用的非道路移动机械应达到国四标准（或其他国家等效排放标准）。</w:t>
            </w:r>
          </w:p>
          <w:p>
            <w:pPr>
              <w:spacing w:line="360" w:lineRule="auto"/>
              <w:ind w:firstLine="482" w:firstLineChars="200"/>
              <w:rPr>
                <w:b/>
                <w:color w:val="auto"/>
                <w:sz w:val="24"/>
                <w:highlight w:val="none"/>
              </w:rPr>
            </w:pPr>
            <w:r>
              <w:rPr>
                <w:b/>
                <w:color w:val="auto"/>
                <w:sz w:val="24"/>
                <w:highlight w:val="none"/>
              </w:rPr>
              <w:t>2、废水治理措施</w:t>
            </w:r>
          </w:p>
          <w:p>
            <w:pPr>
              <w:spacing w:line="360" w:lineRule="auto"/>
              <w:ind w:firstLine="480" w:firstLineChars="200"/>
              <w:rPr>
                <w:color w:val="auto"/>
                <w:sz w:val="24"/>
                <w:highlight w:val="none"/>
              </w:rPr>
            </w:pPr>
            <w:r>
              <w:rPr>
                <w:color w:val="auto"/>
                <w:sz w:val="24"/>
                <w:highlight w:val="none"/>
              </w:rPr>
              <w:t>施工期水污染的产生主要是施工管理不严、设施不配套等引起的，通过加强管理和监督可大大控制水污染物产生量，施工期污染将随施工结束而消除。因此，建设项目施工期采取如下控制措施：</w:t>
            </w:r>
          </w:p>
          <w:p>
            <w:pPr>
              <w:spacing w:line="360" w:lineRule="auto"/>
              <w:ind w:firstLine="480" w:firstLineChars="200"/>
              <w:rPr>
                <w:color w:val="auto"/>
                <w:sz w:val="24"/>
                <w:highlight w:val="none"/>
              </w:rPr>
            </w:pPr>
            <w:r>
              <w:rPr>
                <w:color w:val="auto"/>
                <w:sz w:val="24"/>
                <w:highlight w:val="none"/>
              </w:rPr>
              <w:t>（1）项目施工中排放的废水不得</w:t>
            </w:r>
            <w:r>
              <w:rPr>
                <w:rFonts w:hint="eastAsia"/>
                <w:color w:val="auto"/>
                <w:sz w:val="24"/>
                <w:highlight w:val="none"/>
              </w:rPr>
              <w:t>直接</w:t>
            </w:r>
            <w:r>
              <w:rPr>
                <w:color w:val="auto"/>
                <w:sz w:val="24"/>
                <w:highlight w:val="none"/>
              </w:rPr>
              <w:t>排入水中或排入市政管网，应经场地内隔油沉淀</w:t>
            </w:r>
            <w:r>
              <w:rPr>
                <w:rFonts w:hint="eastAsia"/>
                <w:color w:val="auto"/>
                <w:sz w:val="24"/>
                <w:highlight w:val="none"/>
                <w:lang w:val="en-US" w:eastAsia="zh-CN"/>
              </w:rPr>
              <w:t>后</w:t>
            </w:r>
            <w:r>
              <w:rPr>
                <w:color w:val="auto"/>
                <w:sz w:val="24"/>
                <w:highlight w:val="none"/>
              </w:rPr>
              <w:t>回用于施工场地洒水降尘，，严禁直排入地表水体。</w:t>
            </w:r>
          </w:p>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rPr>
              <w:t>2</w:t>
            </w:r>
            <w:r>
              <w:rPr>
                <w:color w:val="auto"/>
                <w:sz w:val="24"/>
                <w:highlight w:val="none"/>
              </w:rPr>
              <w:t>）项目施工使用的物料堆放应远离水体，同时必须采取遮盖和围挡措施，防止雨水冲刷污染环境。</w:t>
            </w:r>
          </w:p>
          <w:p>
            <w:pPr>
              <w:spacing w:line="360" w:lineRule="auto"/>
              <w:ind w:firstLine="480" w:firstLineChars="200"/>
              <w:rPr>
                <w:color w:val="auto"/>
                <w:highlight w:val="none"/>
              </w:rPr>
            </w:pPr>
            <w:r>
              <w:rPr>
                <w:color w:val="auto"/>
                <w:sz w:val="24"/>
                <w:highlight w:val="none"/>
              </w:rPr>
              <w:t>（</w:t>
            </w:r>
            <w:r>
              <w:rPr>
                <w:rFonts w:hint="eastAsia"/>
                <w:color w:val="auto"/>
                <w:sz w:val="24"/>
                <w:highlight w:val="none"/>
              </w:rPr>
              <w:t>3</w:t>
            </w:r>
            <w:r>
              <w:rPr>
                <w:color w:val="auto"/>
                <w:sz w:val="24"/>
                <w:highlight w:val="none"/>
              </w:rPr>
              <w:t>）</w:t>
            </w:r>
            <w:r>
              <w:rPr>
                <w:rFonts w:hint="eastAsia"/>
                <w:color w:val="auto"/>
                <w:sz w:val="24"/>
                <w:highlight w:val="none"/>
              </w:rPr>
              <w:t>项目施工营地员工生活污水设计独立卫生间，统一使用管道接纳至市政污水管网。</w:t>
            </w:r>
          </w:p>
          <w:p>
            <w:pPr>
              <w:spacing w:line="360" w:lineRule="auto"/>
              <w:ind w:firstLine="482" w:firstLineChars="200"/>
              <w:rPr>
                <w:b/>
                <w:bCs/>
                <w:color w:val="auto"/>
                <w:sz w:val="24"/>
                <w:highlight w:val="none"/>
              </w:rPr>
            </w:pPr>
            <w:r>
              <w:rPr>
                <w:b/>
                <w:bCs/>
                <w:color w:val="auto"/>
                <w:sz w:val="24"/>
                <w:highlight w:val="none"/>
              </w:rPr>
              <w:t>3、噪声治理措施</w:t>
            </w:r>
          </w:p>
          <w:p>
            <w:pPr>
              <w:spacing w:line="360" w:lineRule="auto"/>
              <w:ind w:firstLine="480" w:firstLineChars="200"/>
              <w:rPr>
                <w:color w:val="auto"/>
                <w:sz w:val="24"/>
                <w:highlight w:val="none"/>
              </w:rPr>
            </w:pPr>
            <w:r>
              <w:rPr>
                <w:color w:val="auto"/>
                <w:sz w:val="24"/>
                <w:highlight w:val="none"/>
              </w:rPr>
              <w:t>为进一步减轻施工噪声对项目周边敏感目标的影响，拟采取以下措施：</w:t>
            </w:r>
          </w:p>
          <w:p>
            <w:pPr>
              <w:spacing w:line="360" w:lineRule="auto"/>
              <w:ind w:firstLine="480" w:firstLineChars="200"/>
              <w:rPr>
                <w:color w:val="auto"/>
                <w:sz w:val="24"/>
                <w:highlight w:val="none"/>
              </w:rPr>
            </w:pPr>
            <w:r>
              <w:rPr>
                <w:color w:val="auto"/>
                <w:sz w:val="24"/>
                <w:highlight w:val="none"/>
              </w:rPr>
              <w:t>（1）施工设备和运输车辆尽量选用低噪声施工设备。同时实际选用设备时还用考虑所使用的机械性能、设备老化程度等，正确评估该设备的噪声值。</w:t>
            </w:r>
          </w:p>
          <w:p>
            <w:pPr>
              <w:spacing w:line="360" w:lineRule="auto"/>
              <w:ind w:firstLine="480" w:firstLineChars="200"/>
              <w:rPr>
                <w:color w:val="auto"/>
                <w:sz w:val="24"/>
                <w:highlight w:val="none"/>
              </w:rPr>
            </w:pPr>
            <w:r>
              <w:rPr>
                <w:color w:val="auto"/>
                <w:sz w:val="24"/>
                <w:highlight w:val="none"/>
              </w:rPr>
              <w:t>（2）运输车辆禁止超速、超载、禁止鸣笛等，同时应制定合理的运输车辆行驶路线和时间。施工路线应尽量选择避开居民点、学校等人群聚集区的路线，行驶时间应避开夜间（22:00~次日6:00）及上下班高峰时间。</w:t>
            </w:r>
          </w:p>
          <w:p>
            <w:pPr>
              <w:spacing w:line="360" w:lineRule="auto"/>
              <w:ind w:firstLine="480" w:firstLineChars="200"/>
              <w:rPr>
                <w:color w:val="auto"/>
                <w:sz w:val="24"/>
                <w:highlight w:val="none"/>
              </w:rPr>
            </w:pPr>
            <w:r>
              <w:rPr>
                <w:color w:val="auto"/>
                <w:sz w:val="24"/>
                <w:highlight w:val="none"/>
              </w:rPr>
              <w:t>（3）施工高噪声设备和设备应尽量远离评价范围内的敏感目标，尽可能布置在道路工程两侧空旷处，并在高噪声设备周围设置临时隔声围栏。合理布局施工现场，避免在同一地点安排大量动力机械设备，以免局部声级过高。</w:t>
            </w:r>
          </w:p>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4</w:t>
            </w:r>
            <w:r>
              <w:rPr>
                <w:color w:val="auto"/>
                <w:sz w:val="24"/>
                <w:highlight w:val="none"/>
              </w:rPr>
              <w:t>）加强施工设备的维护保养，保持润滑、紧固部件，减少运行振动噪声；施工机械应安装稳固，并与地面保持良好接触，有条件的应使用减振基座。加强施工管理，杜绝施工机械维护不当而产生高噪声的影响。</w:t>
            </w:r>
          </w:p>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lang w:val="en-US" w:eastAsia="zh-CN"/>
              </w:rPr>
              <w:t>5</w:t>
            </w:r>
            <w:r>
              <w:rPr>
                <w:color w:val="auto"/>
                <w:sz w:val="24"/>
                <w:highlight w:val="none"/>
              </w:rPr>
              <w:t>）施工单位应与沿线周围单位、居民建立良好的社区关系，对受施工干扰的单位和居民应在作业前予以通知，取得公众的理解。责成施工单位在施工现场标明施工通告和投诉电话，在接到投诉后，应及时与当地环保部门取得联系，便于及时处理各种环境纠纷。</w:t>
            </w:r>
          </w:p>
          <w:p>
            <w:pPr>
              <w:spacing w:line="360" w:lineRule="auto"/>
              <w:ind w:firstLine="522" w:firstLineChars="200"/>
              <w:rPr>
                <w:b/>
                <w:color w:val="auto"/>
                <w:spacing w:val="10"/>
                <w:sz w:val="24"/>
                <w:highlight w:val="none"/>
              </w:rPr>
            </w:pPr>
            <w:r>
              <w:rPr>
                <w:b/>
                <w:color w:val="auto"/>
                <w:spacing w:val="10"/>
                <w:sz w:val="24"/>
                <w:highlight w:val="none"/>
              </w:rPr>
              <w:t>4、固废治理措施</w:t>
            </w:r>
          </w:p>
          <w:p>
            <w:pPr>
              <w:spacing w:line="360" w:lineRule="auto"/>
              <w:ind w:firstLine="480" w:firstLineChars="200"/>
              <w:rPr>
                <w:color w:val="auto"/>
                <w:sz w:val="24"/>
                <w:highlight w:val="none"/>
              </w:rPr>
            </w:pPr>
            <w:r>
              <w:rPr>
                <w:color w:val="auto"/>
                <w:sz w:val="24"/>
                <w:highlight w:val="none"/>
              </w:rPr>
              <w:t>施工期固体废物主要来自工程弃渣。</w:t>
            </w:r>
          </w:p>
          <w:p>
            <w:pPr>
              <w:spacing w:line="360" w:lineRule="auto"/>
              <w:ind w:firstLine="480" w:firstLineChars="200"/>
              <w:rPr>
                <w:color w:val="auto"/>
                <w:sz w:val="24"/>
                <w:highlight w:val="none"/>
              </w:rPr>
            </w:pPr>
            <w:r>
              <w:rPr>
                <w:rFonts w:hint="eastAsia"/>
                <w:color w:val="auto"/>
                <w:sz w:val="24"/>
                <w:highlight w:val="none"/>
              </w:rPr>
              <w:t>根据工程分析的结果，施工期施工营地产生的生活垃圾将由环卫部门定期清运至沿线城市生活垃圾处理场，严禁乱丢乱弃。</w:t>
            </w:r>
          </w:p>
          <w:p>
            <w:pPr>
              <w:spacing w:line="360" w:lineRule="auto"/>
              <w:ind w:firstLine="480" w:firstLineChars="200"/>
              <w:rPr>
                <w:color w:val="auto"/>
                <w:sz w:val="24"/>
                <w:highlight w:val="none"/>
              </w:rPr>
            </w:pPr>
            <w:r>
              <w:rPr>
                <w:color w:val="auto"/>
                <w:sz w:val="24"/>
                <w:highlight w:val="none"/>
              </w:rPr>
              <w:t>拆迁建筑垃圾和弃土按照《苏州市建筑垃圾</w:t>
            </w:r>
            <w:r>
              <w:rPr>
                <w:rFonts w:hint="eastAsia"/>
                <w:color w:val="auto"/>
                <w:sz w:val="24"/>
                <w:highlight w:val="none"/>
              </w:rPr>
              <w:t>（</w:t>
            </w:r>
            <w:r>
              <w:rPr>
                <w:color w:val="auto"/>
                <w:sz w:val="24"/>
                <w:highlight w:val="none"/>
              </w:rPr>
              <w:t>工程渣土</w:t>
            </w:r>
            <w:r>
              <w:rPr>
                <w:rFonts w:hint="eastAsia"/>
                <w:color w:val="auto"/>
                <w:sz w:val="24"/>
                <w:highlight w:val="none"/>
              </w:rPr>
              <w:t>）</w:t>
            </w:r>
            <w:r>
              <w:rPr>
                <w:color w:val="auto"/>
                <w:sz w:val="24"/>
                <w:highlight w:val="none"/>
              </w:rPr>
              <w:t>处置管理办法》(苏州市人民政府法制办公室，2011.10.17)要求由施工单位运送至指定地点处置。</w:t>
            </w:r>
          </w:p>
          <w:p>
            <w:pPr>
              <w:spacing w:line="360" w:lineRule="auto"/>
              <w:ind w:firstLine="482" w:firstLineChars="200"/>
              <w:rPr>
                <w:b/>
                <w:color w:val="auto"/>
                <w:sz w:val="24"/>
                <w:highlight w:val="none"/>
              </w:rPr>
            </w:pPr>
            <w:r>
              <w:rPr>
                <w:b/>
                <w:color w:val="auto"/>
                <w:sz w:val="24"/>
                <w:highlight w:val="none"/>
              </w:rPr>
              <w:t>5、生态保护措施</w:t>
            </w:r>
          </w:p>
          <w:p>
            <w:pPr>
              <w:spacing w:line="360" w:lineRule="auto"/>
              <w:ind w:left="420"/>
              <w:rPr>
                <w:b/>
                <w:bCs/>
                <w:color w:val="auto"/>
                <w:sz w:val="24"/>
                <w:highlight w:val="none"/>
              </w:rPr>
            </w:pPr>
            <w:r>
              <w:rPr>
                <w:b/>
                <w:bCs/>
                <w:color w:val="auto"/>
                <w:sz w:val="24"/>
                <w:highlight w:val="none"/>
              </w:rPr>
              <w:t>（1）土地资源保护</w:t>
            </w:r>
          </w:p>
          <w:p>
            <w:pPr>
              <w:spacing w:line="360" w:lineRule="auto"/>
              <w:ind w:firstLine="480" w:firstLineChars="200"/>
              <w:rPr>
                <w:color w:val="auto"/>
                <w:sz w:val="24"/>
                <w:highlight w:val="none"/>
              </w:rPr>
            </w:pPr>
            <w:r>
              <w:rPr>
                <w:color w:val="auto"/>
                <w:sz w:val="24"/>
                <w:highlight w:val="none"/>
              </w:rPr>
              <w:t>建设单位应要求各施工单位在各自标段内工程达到环保“三同时”要求后，方可撤离现场；施工单位应加强施工队伍的环保意识，做到文明施工；严格控制施工临时用地，做到永临结合；工程材料、机械等应定置堆放，运输车辆应按指定路线行驶；雨季施工要对物料场采取临时防风、防雨设施，对施工运输车辆采取遮盖措施。</w:t>
            </w:r>
          </w:p>
          <w:p>
            <w:pPr>
              <w:spacing w:line="360" w:lineRule="auto"/>
              <w:ind w:left="420"/>
              <w:rPr>
                <w:b/>
                <w:bCs/>
                <w:color w:val="auto"/>
                <w:sz w:val="24"/>
                <w:highlight w:val="none"/>
              </w:rPr>
            </w:pPr>
            <w:r>
              <w:rPr>
                <w:b/>
                <w:bCs/>
                <w:color w:val="auto"/>
                <w:sz w:val="24"/>
                <w:highlight w:val="none"/>
              </w:rPr>
              <w:t>（2）植被资源</w:t>
            </w:r>
          </w:p>
          <w:p>
            <w:pPr>
              <w:spacing w:line="360" w:lineRule="auto"/>
              <w:ind w:firstLine="480" w:firstLineChars="200"/>
              <w:rPr>
                <w:color w:val="auto"/>
                <w:sz w:val="24"/>
                <w:highlight w:val="none"/>
              </w:rPr>
            </w:pPr>
            <w:r>
              <w:rPr>
                <w:rFonts w:hint="eastAsia"/>
                <w:color w:val="auto"/>
                <w:sz w:val="24"/>
                <w:highlight w:val="none"/>
              </w:rPr>
              <w:t>①</w:t>
            </w:r>
            <w:r>
              <w:rPr>
                <w:color w:val="auto"/>
                <w:sz w:val="24"/>
                <w:highlight w:val="none"/>
              </w:rPr>
              <w:t>施工过程中应加强管理，保护好施工场地周围植被。临时工程应进行整体部署，不得随意布设，施工结束后应及时拆除临时工程建筑，清理平整场地。</w:t>
            </w:r>
          </w:p>
          <w:p>
            <w:pPr>
              <w:spacing w:line="360" w:lineRule="auto"/>
              <w:ind w:firstLine="480" w:firstLineChars="200"/>
              <w:rPr>
                <w:color w:val="auto"/>
                <w:sz w:val="24"/>
                <w:highlight w:val="none"/>
              </w:rPr>
            </w:pPr>
            <w:r>
              <w:rPr>
                <w:rFonts w:hint="eastAsia"/>
                <w:color w:val="auto"/>
                <w:sz w:val="24"/>
                <w:highlight w:val="none"/>
              </w:rPr>
              <w:t>②</w:t>
            </w:r>
            <w:r>
              <w:rPr>
                <w:color w:val="auto"/>
                <w:sz w:val="24"/>
                <w:highlight w:val="none"/>
              </w:rPr>
              <w:t>选用乡土物种，在土方工程完成后立即栽种，并在栽种初期，予以必要的养护。如采用立体绿化护坡工程时，可先选择固着性强的先锋物种，在运营期间逐步用乡土物种替代。</w:t>
            </w:r>
          </w:p>
          <w:p>
            <w:pPr>
              <w:spacing w:line="360" w:lineRule="auto"/>
              <w:ind w:firstLine="480" w:firstLineChars="200"/>
              <w:rPr>
                <w:color w:val="auto"/>
                <w:sz w:val="24"/>
                <w:highlight w:val="none"/>
              </w:rPr>
            </w:pPr>
            <w:r>
              <w:rPr>
                <w:rFonts w:hint="eastAsia"/>
                <w:color w:val="auto"/>
                <w:sz w:val="24"/>
                <w:highlight w:val="none"/>
              </w:rPr>
              <w:t>③</w:t>
            </w:r>
            <w:r>
              <w:rPr>
                <w:color w:val="auto"/>
                <w:sz w:val="24"/>
                <w:highlight w:val="none"/>
              </w:rPr>
              <w:t>加强野生珍稀保护植物科普宣传和环保教育，应在施工前对其较常见路段进行调查，做好种群分布记录，保障野生植被资源不受到损害。</w:t>
            </w:r>
          </w:p>
          <w:p>
            <w:pPr>
              <w:spacing w:line="360" w:lineRule="auto"/>
              <w:ind w:firstLine="480" w:firstLineChars="200"/>
              <w:rPr>
                <w:color w:val="auto"/>
                <w:highlight w:val="none"/>
              </w:rPr>
            </w:pPr>
            <w:r>
              <w:rPr>
                <w:rFonts w:hint="eastAsia"/>
                <w:color w:val="auto"/>
                <w:sz w:val="24"/>
                <w:highlight w:val="none"/>
              </w:rPr>
              <w:t>④在施工营地建设完成后应及时清理堆土场的表层，把剥离的表层熟土临时回填至种草边坡内用于路基两侧绿化带的覆土改造。对于临时堆土场，在临时堆土清运完成后，应对占地进行植被恢复，由于临时表土堆场在堆存表土前没有对其进行表土剥离，所以其表层存在一定厚度的土壤，恢复时不需要对其进行覆土。</w:t>
            </w:r>
          </w:p>
          <w:p>
            <w:pPr>
              <w:spacing w:line="360" w:lineRule="auto"/>
              <w:ind w:left="420"/>
              <w:rPr>
                <w:b/>
                <w:bCs/>
                <w:color w:val="auto"/>
                <w:sz w:val="24"/>
                <w:highlight w:val="none"/>
              </w:rPr>
            </w:pPr>
            <w:r>
              <w:rPr>
                <w:b/>
                <w:bCs/>
                <w:color w:val="auto"/>
                <w:sz w:val="24"/>
                <w:highlight w:val="none"/>
              </w:rPr>
              <w:t>（3）水土保持与防护</w:t>
            </w:r>
          </w:p>
          <w:p>
            <w:pPr>
              <w:spacing w:line="360" w:lineRule="auto"/>
              <w:ind w:firstLine="480" w:firstLineChars="200"/>
              <w:rPr>
                <w:color w:val="auto"/>
                <w:sz w:val="24"/>
                <w:highlight w:val="none"/>
              </w:rPr>
            </w:pPr>
            <w:r>
              <w:rPr>
                <w:rFonts w:hint="eastAsia"/>
                <w:color w:val="auto"/>
                <w:sz w:val="24"/>
                <w:highlight w:val="none"/>
              </w:rPr>
              <w:t>①</w:t>
            </w:r>
            <w:r>
              <w:rPr>
                <w:color w:val="auto"/>
                <w:sz w:val="24"/>
                <w:highlight w:val="none"/>
              </w:rPr>
              <w:t>管理措施</w:t>
            </w:r>
          </w:p>
          <w:p>
            <w:pPr>
              <w:spacing w:line="360" w:lineRule="auto"/>
              <w:ind w:firstLine="480" w:firstLineChars="200"/>
              <w:rPr>
                <w:color w:val="auto"/>
                <w:sz w:val="24"/>
                <w:highlight w:val="none"/>
              </w:rPr>
            </w:pPr>
            <w:r>
              <w:rPr>
                <w:color w:val="auto"/>
                <w:sz w:val="24"/>
                <w:highlight w:val="none"/>
              </w:rPr>
              <w:t>合理安排施工季节和作业时间，尽量避免在雨季进行挖方，施工时开挖过程要做到随挖、随运，减少水土流失。</w:t>
            </w:r>
          </w:p>
          <w:p>
            <w:pPr>
              <w:spacing w:line="360" w:lineRule="auto"/>
              <w:ind w:firstLine="480" w:firstLineChars="200"/>
              <w:rPr>
                <w:color w:val="auto"/>
                <w:sz w:val="24"/>
                <w:highlight w:val="none"/>
              </w:rPr>
            </w:pPr>
            <w:r>
              <w:rPr>
                <w:color w:val="auto"/>
                <w:sz w:val="24"/>
                <w:highlight w:val="none"/>
              </w:rPr>
              <w:t>施工场地及挖方断面应备有一定数量的成品防护物，如塑料薄膜、草席等，在生态绿化措施尚无法起到防护作用期间，覆盖地表，防止水土流失。</w:t>
            </w:r>
          </w:p>
          <w:p>
            <w:pPr>
              <w:spacing w:line="360" w:lineRule="auto"/>
              <w:ind w:firstLine="480" w:firstLineChars="200"/>
              <w:rPr>
                <w:color w:val="auto"/>
                <w:sz w:val="24"/>
                <w:highlight w:val="none"/>
              </w:rPr>
            </w:pPr>
            <w:r>
              <w:rPr>
                <w:color w:val="auto"/>
                <w:sz w:val="24"/>
                <w:highlight w:val="none"/>
              </w:rPr>
              <w:t>黄时应覆盖沙、石灰等物料堆应配有专人看管，下雨防护物，减少水土流失。</w:t>
            </w:r>
          </w:p>
          <w:p>
            <w:pPr>
              <w:spacing w:line="360" w:lineRule="auto"/>
              <w:ind w:firstLine="480" w:firstLineChars="200"/>
              <w:rPr>
                <w:color w:val="auto"/>
                <w:sz w:val="24"/>
                <w:highlight w:val="none"/>
              </w:rPr>
            </w:pPr>
            <w:r>
              <w:rPr>
                <w:color w:val="auto"/>
                <w:sz w:val="24"/>
                <w:highlight w:val="none"/>
              </w:rPr>
              <w:t>雨季施工时，应加强与气象部门联系，制定雨季施工计划。</w:t>
            </w:r>
          </w:p>
          <w:p>
            <w:pPr>
              <w:spacing w:line="360" w:lineRule="auto"/>
              <w:ind w:firstLine="480" w:firstLineChars="200"/>
              <w:rPr>
                <w:color w:val="auto"/>
                <w:sz w:val="24"/>
                <w:highlight w:val="none"/>
              </w:rPr>
            </w:pPr>
            <w:r>
              <w:rPr>
                <w:color w:val="auto"/>
                <w:sz w:val="24"/>
                <w:highlight w:val="none"/>
              </w:rPr>
              <w:t>施工单位要加强施工过程中的管理措施，施工活动严格控制在征地范围内进行，规范施工行为，进行水保法律法规宣传教育，增强施工人员的水土保持意识和保护生态环境的责任。</w:t>
            </w:r>
          </w:p>
          <w:p>
            <w:pPr>
              <w:spacing w:line="360" w:lineRule="auto"/>
              <w:ind w:firstLine="480" w:firstLineChars="200"/>
              <w:rPr>
                <w:color w:val="auto"/>
                <w:sz w:val="24"/>
                <w:highlight w:val="none"/>
              </w:rPr>
            </w:pPr>
            <w:r>
              <w:rPr>
                <w:rFonts w:hint="eastAsia"/>
                <w:color w:val="auto"/>
                <w:sz w:val="24"/>
                <w:highlight w:val="none"/>
              </w:rPr>
              <w:t>②</w:t>
            </w:r>
            <w:r>
              <w:rPr>
                <w:color w:val="auto"/>
                <w:sz w:val="24"/>
                <w:highlight w:val="none"/>
              </w:rPr>
              <w:t>工程措施</w:t>
            </w:r>
          </w:p>
          <w:p>
            <w:pPr>
              <w:spacing w:line="360" w:lineRule="auto"/>
              <w:ind w:firstLine="480" w:firstLineChars="200"/>
              <w:rPr>
                <w:color w:val="auto"/>
                <w:sz w:val="24"/>
                <w:highlight w:val="none"/>
              </w:rPr>
            </w:pPr>
            <w:r>
              <w:rPr>
                <w:color w:val="auto"/>
                <w:sz w:val="24"/>
                <w:highlight w:val="none"/>
              </w:rPr>
              <w:t>填方路段：路基填筑前，先用编织土袋在坡脚处砌成拦挡墙，为了避免雨水随地漫流，填方路基填筑后，拟在路面两侧靠坡顶位置做一道土梗，以拦截路面水流，同时沿边坡设置简易排水沟，以排除路面积水，该措施在路面填土时可附带完成。在拦挡墙外设置临时性土质排水沟，以排除从坡面汇集的积水。路基填筑完毕后，为防止雨水冲刷，用塑料薄膜自下而上覆盖路基边坡，以减少施工期水土流失。</w:t>
            </w:r>
          </w:p>
          <w:p>
            <w:pPr>
              <w:spacing w:line="360" w:lineRule="auto"/>
              <w:ind w:firstLine="480" w:firstLineChars="200"/>
              <w:rPr>
                <w:color w:val="auto"/>
                <w:sz w:val="24"/>
                <w:highlight w:val="none"/>
              </w:rPr>
            </w:pPr>
            <w:r>
              <w:rPr>
                <w:color w:val="auto"/>
                <w:sz w:val="24"/>
                <w:highlight w:val="none"/>
              </w:rPr>
              <w:t>表土剥离防治：表土平均按15cm剥离，对于剥离表土采取集中堆放的方式，采用编织土袋在临时堆土坡脚处砌成拦挡墙。</w:t>
            </w:r>
          </w:p>
          <w:p>
            <w:pPr>
              <w:spacing w:line="360" w:lineRule="auto"/>
              <w:ind w:firstLine="480" w:firstLineChars="200"/>
              <w:rPr>
                <w:color w:val="auto"/>
                <w:sz w:val="24"/>
                <w:highlight w:val="none"/>
              </w:rPr>
            </w:pPr>
            <w:r>
              <w:rPr>
                <w:color w:val="auto"/>
                <w:sz w:val="24"/>
                <w:highlight w:val="none"/>
              </w:rPr>
              <w:t>施工场地水土保持措施设计：在场地四周布置排水沟，拦截坡面来水及收集施工布置区内的降雨。施工结束后应尽快进行植被恢复</w:t>
            </w:r>
          </w:p>
          <w:p>
            <w:pPr>
              <w:spacing w:line="360" w:lineRule="auto"/>
              <w:ind w:left="420"/>
              <w:rPr>
                <w:b/>
                <w:bCs/>
                <w:color w:val="auto"/>
                <w:sz w:val="24"/>
                <w:highlight w:val="none"/>
              </w:rPr>
            </w:pPr>
            <w:r>
              <w:rPr>
                <w:rFonts w:hint="eastAsia"/>
                <w:b/>
                <w:bCs/>
                <w:color w:val="auto"/>
                <w:sz w:val="24"/>
                <w:highlight w:val="none"/>
              </w:rPr>
              <w:t>（</w:t>
            </w:r>
            <w:r>
              <w:rPr>
                <w:b/>
                <w:bCs/>
                <w:color w:val="auto"/>
                <w:sz w:val="24"/>
                <w:highlight w:val="none"/>
              </w:rPr>
              <w:t>4</w:t>
            </w:r>
            <w:r>
              <w:rPr>
                <w:rFonts w:hint="eastAsia"/>
                <w:b/>
                <w:bCs/>
                <w:color w:val="auto"/>
                <w:sz w:val="24"/>
                <w:highlight w:val="none"/>
              </w:rPr>
              <w:t>）</w:t>
            </w:r>
            <w:r>
              <w:rPr>
                <w:b/>
                <w:bCs/>
                <w:color w:val="auto"/>
                <w:sz w:val="24"/>
                <w:highlight w:val="none"/>
              </w:rPr>
              <w:t>生态空间管控区域保护</w:t>
            </w:r>
          </w:p>
          <w:p>
            <w:pPr>
              <w:spacing w:line="360" w:lineRule="auto"/>
              <w:ind w:firstLine="480" w:firstLineChars="200"/>
              <w:rPr>
                <w:color w:val="auto"/>
                <w:sz w:val="24"/>
                <w:highlight w:val="none"/>
              </w:rPr>
            </w:pPr>
            <w:r>
              <w:rPr>
                <w:rFonts w:hint="eastAsia"/>
                <w:color w:val="auto"/>
                <w:sz w:val="24"/>
                <w:highlight w:val="none"/>
              </w:rPr>
              <w:t>①</w:t>
            </w:r>
            <w:r>
              <w:rPr>
                <w:color w:val="auto"/>
                <w:sz w:val="24"/>
                <w:highlight w:val="none"/>
              </w:rPr>
              <w:t>工程防护措施</w:t>
            </w:r>
          </w:p>
          <w:p>
            <w:pPr>
              <w:spacing w:line="360" w:lineRule="auto"/>
              <w:ind w:firstLine="480" w:firstLineChars="200"/>
              <w:rPr>
                <w:color w:val="auto"/>
                <w:sz w:val="24"/>
                <w:highlight w:val="none"/>
              </w:rPr>
            </w:pPr>
            <w:r>
              <w:rPr>
                <w:color w:val="auto"/>
                <w:sz w:val="24"/>
                <w:highlight w:val="none"/>
              </w:rPr>
              <w:t>项目施工过程中所缺土方全部外购，严禁在生态空间管控区域内设置取土场、弃土场，施工场地等临时工程并尽可能远离生态空间管控区域；</w:t>
            </w:r>
          </w:p>
          <w:p>
            <w:pPr>
              <w:spacing w:line="360" w:lineRule="auto"/>
              <w:ind w:firstLine="480" w:firstLineChars="200"/>
              <w:rPr>
                <w:color w:val="auto"/>
                <w:sz w:val="24"/>
                <w:highlight w:val="none"/>
              </w:rPr>
            </w:pPr>
            <w:r>
              <w:rPr>
                <w:color w:val="auto"/>
                <w:sz w:val="24"/>
                <w:highlight w:val="none"/>
              </w:rPr>
              <w:t>加强施工机械及运输车辆的保养工作，使设备维持良好的运转状态，使用符合国家尾气排放标准的车辆运输物料；</w:t>
            </w:r>
          </w:p>
          <w:p>
            <w:pPr>
              <w:spacing w:line="360" w:lineRule="auto"/>
              <w:ind w:firstLine="480" w:firstLineChars="200"/>
              <w:rPr>
                <w:color w:val="auto"/>
                <w:sz w:val="24"/>
                <w:highlight w:val="none"/>
              </w:rPr>
            </w:pPr>
            <w:r>
              <w:rPr>
                <w:color w:val="auto"/>
                <w:sz w:val="24"/>
                <w:highlight w:val="none"/>
              </w:rPr>
              <w:t>严格控制施工区域，施工期固废堆放在道路红线范围内，施工废水经沉淀池、隔油池处理后回用于施工场地洒水降尘，严禁在生态空间管控区域内堆放固体废物、乱排污水。</w:t>
            </w:r>
          </w:p>
          <w:p>
            <w:pPr>
              <w:spacing w:line="360" w:lineRule="auto"/>
              <w:ind w:firstLine="480" w:firstLineChars="200"/>
              <w:rPr>
                <w:color w:val="auto"/>
                <w:sz w:val="24"/>
                <w:highlight w:val="none"/>
              </w:rPr>
            </w:pPr>
            <w:r>
              <w:rPr>
                <w:rFonts w:hint="eastAsia"/>
                <w:color w:val="auto"/>
                <w:sz w:val="24"/>
                <w:highlight w:val="none"/>
              </w:rPr>
              <w:t>②</w:t>
            </w:r>
            <w:r>
              <w:rPr>
                <w:color w:val="auto"/>
                <w:sz w:val="24"/>
                <w:highlight w:val="none"/>
              </w:rPr>
              <w:t>其他环保措施</w:t>
            </w:r>
          </w:p>
          <w:p>
            <w:pPr>
              <w:spacing w:line="360" w:lineRule="auto"/>
              <w:ind w:firstLine="480" w:firstLineChars="200"/>
              <w:rPr>
                <w:color w:val="auto"/>
                <w:sz w:val="24"/>
                <w:highlight w:val="none"/>
              </w:rPr>
            </w:pPr>
            <w:r>
              <w:rPr>
                <w:color w:val="auto"/>
                <w:sz w:val="24"/>
                <w:highlight w:val="none"/>
              </w:rPr>
              <w:t>加强宣传教育，提高工作人员环保意识，严禁乱丢垃圾、污染环境、妨碍游览、破坏沿线景观和自然风貌的行为。</w:t>
            </w:r>
          </w:p>
          <w:p>
            <w:pPr>
              <w:spacing w:line="360" w:lineRule="auto"/>
              <w:ind w:firstLine="480" w:firstLineChars="200"/>
              <w:rPr>
                <w:color w:val="auto"/>
                <w:sz w:val="24"/>
                <w:highlight w:val="none"/>
              </w:rPr>
            </w:pPr>
            <w:r>
              <w:rPr>
                <w:color w:val="auto"/>
                <w:sz w:val="24"/>
                <w:highlight w:val="none"/>
              </w:rPr>
              <w:t>建设单位采取有效的植被恢复、补偿绿化等措施，运营单位加强养护工作。</w:t>
            </w:r>
          </w:p>
          <w:p>
            <w:pPr>
              <w:pStyle w:val="3"/>
              <w:ind w:firstLine="480"/>
              <w:rPr>
                <w:color w:val="auto"/>
                <w:sz w:val="24"/>
                <w:highlight w:val="none"/>
              </w:rPr>
            </w:pPr>
          </w:p>
          <w:p>
            <w:pPr>
              <w:pStyle w:val="4"/>
              <w:ind w:firstLine="480"/>
              <w:rPr>
                <w:color w:val="auto"/>
                <w:sz w:val="24"/>
                <w:highlight w:val="none"/>
              </w:rPr>
            </w:pPr>
          </w:p>
          <w:p>
            <w:pPr>
              <w:pStyle w:val="4"/>
              <w:ind w:firstLine="480"/>
              <w:rPr>
                <w:color w:val="auto"/>
                <w:sz w:val="24"/>
                <w:highlight w:val="none"/>
              </w:rPr>
            </w:pPr>
          </w:p>
          <w:p>
            <w:pPr>
              <w:pStyle w:val="4"/>
              <w:ind w:firstLine="480"/>
              <w:rPr>
                <w:color w:val="auto"/>
                <w:sz w:val="24"/>
                <w:highlight w:val="none"/>
              </w:rPr>
            </w:pPr>
          </w:p>
          <w:p>
            <w:pPr>
              <w:pStyle w:val="4"/>
              <w:ind w:firstLine="480"/>
              <w:rPr>
                <w:color w:val="auto"/>
                <w:sz w:val="24"/>
                <w:highlight w:val="none"/>
              </w:rPr>
            </w:pPr>
          </w:p>
          <w:p>
            <w:pPr>
              <w:pStyle w:val="4"/>
              <w:ind w:firstLine="0" w:firstLineChars="0"/>
              <w:rPr>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753" w:type="dxa"/>
            <w:tcMar>
              <w:left w:w="28" w:type="dxa"/>
              <w:right w:w="28" w:type="dxa"/>
            </w:tcMar>
            <w:vAlign w:val="center"/>
          </w:tcPr>
          <w:p>
            <w:pPr>
              <w:adjustRightInd w:val="0"/>
              <w:snapToGrid w:val="0"/>
              <w:jc w:val="center"/>
              <w:rPr>
                <w:bCs/>
                <w:color w:val="auto"/>
                <w:spacing w:val="10"/>
                <w:szCs w:val="21"/>
                <w:highlight w:val="none"/>
              </w:rPr>
            </w:pPr>
            <w:r>
              <w:rPr>
                <w:rFonts w:hint="eastAsia"/>
                <w:bCs/>
                <w:color w:val="auto"/>
                <w:spacing w:val="10"/>
                <w:sz w:val="24"/>
                <w:highlight w:val="none"/>
              </w:rPr>
              <w:t>营运期</w:t>
            </w:r>
            <w:r>
              <w:rPr>
                <w:bCs/>
                <w:color w:val="auto"/>
                <w:spacing w:val="10"/>
                <w:sz w:val="24"/>
                <w:highlight w:val="none"/>
              </w:rPr>
              <w:t>生态环境保护措施</w:t>
            </w:r>
          </w:p>
        </w:tc>
        <w:tc>
          <w:tcPr>
            <w:tcW w:w="8457" w:type="dxa"/>
          </w:tcPr>
          <w:p>
            <w:pPr>
              <w:adjustRightInd w:val="0"/>
              <w:snapToGrid w:val="0"/>
              <w:ind w:left="420" w:leftChars="200"/>
              <w:rPr>
                <w:b/>
                <w:bCs/>
                <w:color w:val="auto"/>
                <w:sz w:val="24"/>
                <w:highlight w:val="none"/>
              </w:rPr>
            </w:pPr>
            <w:r>
              <w:rPr>
                <w:b/>
                <w:bCs/>
                <w:color w:val="auto"/>
                <w:sz w:val="24"/>
                <w:highlight w:val="none"/>
              </w:rPr>
              <w:t>1.废气治理措施</w:t>
            </w:r>
          </w:p>
          <w:p>
            <w:pPr>
              <w:spacing w:line="360" w:lineRule="auto"/>
              <w:ind w:firstLine="480" w:firstLineChars="200"/>
              <w:rPr>
                <w:color w:val="auto"/>
                <w:sz w:val="24"/>
                <w:highlight w:val="none"/>
              </w:rPr>
            </w:pPr>
            <w:r>
              <w:rPr>
                <w:color w:val="auto"/>
                <w:sz w:val="24"/>
                <w:highlight w:val="none"/>
              </w:rPr>
              <w:t>为了减轻机动车尾气污染物的排放，本项目营运期应拟采取以下大气污染防治对策：</w:t>
            </w:r>
          </w:p>
          <w:p>
            <w:pPr>
              <w:spacing w:line="360" w:lineRule="auto"/>
              <w:ind w:firstLine="480" w:firstLineChars="200"/>
              <w:rPr>
                <w:color w:val="auto"/>
                <w:sz w:val="24"/>
                <w:highlight w:val="none"/>
              </w:rPr>
            </w:pPr>
            <w:r>
              <w:rPr>
                <w:rFonts w:hint="eastAsia"/>
                <w:color w:val="auto"/>
                <w:sz w:val="24"/>
                <w:highlight w:val="none"/>
              </w:rPr>
              <w:t>（1）</w:t>
            </w:r>
            <w:r>
              <w:rPr>
                <w:color w:val="auto"/>
                <w:sz w:val="24"/>
                <w:highlight w:val="none"/>
              </w:rPr>
              <w:t>营运期道路路肩绿化带的日常养护管理。在干燥天气洒水防尘，降低空气中TSP浓度。加强道路路面、交通设施的养护管理，保障道路畅通。</w:t>
            </w:r>
          </w:p>
          <w:p>
            <w:pPr>
              <w:spacing w:line="360" w:lineRule="auto"/>
              <w:ind w:firstLine="480" w:firstLineChars="200"/>
              <w:rPr>
                <w:color w:val="auto"/>
                <w:sz w:val="24"/>
                <w:highlight w:val="none"/>
              </w:rPr>
            </w:pPr>
            <w:r>
              <w:rPr>
                <w:rFonts w:hint="eastAsia"/>
                <w:color w:val="auto"/>
                <w:sz w:val="24"/>
                <w:highlight w:val="none"/>
              </w:rPr>
              <w:t>（2）</w:t>
            </w:r>
            <w:r>
              <w:rPr>
                <w:color w:val="auto"/>
                <w:sz w:val="24"/>
                <w:highlight w:val="none"/>
              </w:rPr>
              <w:t>对于性能较差的汽车或即将淘汰的汽车，需加装尾气净化装置，定期由交通主管部门监测尾气排放情况，对于无法实现尾气达标排放的车辆严禁上路，上路车辆排污要求符合有关汽车尾气排放标准；</w:t>
            </w:r>
          </w:p>
          <w:p>
            <w:pPr>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加强交通的管理，提高道路利用效率，减少因拥挤塞车造成的大气污染</w:t>
            </w:r>
            <w:r>
              <w:rPr>
                <w:rFonts w:hint="eastAsia"/>
                <w:color w:val="auto"/>
                <w:sz w:val="24"/>
                <w:highlight w:val="none"/>
              </w:rPr>
              <w:t>。</w:t>
            </w:r>
          </w:p>
          <w:p>
            <w:pPr>
              <w:spacing w:line="360" w:lineRule="auto"/>
              <w:ind w:firstLine="480" w:firstLineChars="200"/>
              <w:rPr>
                <w:color w:val="auto"/>
                <w:sz w:val="24"/>
                <w:highlight w:val="none"/>
              </w:rPr>
            </w:pPr>
            <w:r>
              <w:rPr>
                <w:color w:val="auto"/>
                <w:sz w:val="24"/>
                <w:highlight w:val="none"/>
              </w:rPr>
              <w:t>通过上述措施，项目营运期对周围大气环境的影响在可控范围内。</w:t>
            </w:r>
          </w:p>
          <w:p>
            <w:pPr>
              <w:adjustRightInd w:val="0"/>
              <w:snapToGrid w:val="0"/>
              <w:spacing w:line="360" w:lineRule="auto"/>
              <w:ind w:left="420" w:leftChars="200"/>
              <w:rPr>
                <w:b/>
                <w:bCs/>
                <w:color w:val="auto"/>
                <w:sz w:val="24"/>
                <w:highlight w:val="none"/>
              </w:rPr>
            </w:pPr>
            <w:r>
              <w:rPr>
                <w:b/>
                <w:bCs/>
                <w:color w:val="auto"/>
                <w:sz w:val="24"/>
                <w:highlight w:val="none"/>
              </w:rPr>
              <w:t>2.废水治理措施</w:t>
            </w:r>
          </w:p>
          <w:p>
            <w:pPr>
              <w:spacing w:line="360" w:lineRule="auto"/>
              <w:ind w:firstLine="480" w:firstLineChars="200"/>
              <w:rPr>
                <w:color w:val="auto"/>
                <w:sz w:val="24"/>
                <w:highlight w:val="none"/>
              </w:rPr>
            </w:pPr>
            <w:r>
              <w:rPr>
                <w:color w:val="auto"/>
                <w:sz w:val="24"/>
                <w:highlight w:val="none"/>
              </w:rPr>
              <w:t>营运期道路不产生废水，废水主要为降雨冲刷路面产生的路面径流污水等，污染浓度底，径流污水经雨水收集系统收集后排至市政雨水管网，对周边河流影响较小。</w:t>
            </w:r>
          </w:p>
          <w:p>
            <w:pPr>
              <w:adjustRightInd w:val="0"/>
              <w:snapToGrid w:val="0"/>
              <w:spacing w:line="360" w:lineRule="auto"/>
              <w:ind w:left="420" w:leftChars="200"/>
              <w:rPr>
                <w:b/>
                <w:bCs/>
                <w:color w:val="auto"/>
                <w:sz w:val="24"/>
                <w:highlight w:val="none"/>
              </w:rPr>
            </w:pPr>
            <w:r>
              <w:rPr>
                <w:b/>
                <w:bCs/>
                <w:color w:val="auto"/>
                <w:sz w:val="24"/>
                <w:highlight w:val="none"/>
              </w:rPr>
              <w:t>3.固废治理措施</w:t>
            </w:r>
          </w:p>
          <w:p>
            <w:pPr>
              <w:spacing w:line="360" w:lineRule="auto"/>
              <w:ind w:firstLine="480" w:firstLineChars="200"/>
              <w:rPr>
                <w:color w:val="auto"/>
                <w:sz w:val="24"/>
                <w:highlight w:val="none"/>
              </w:rPr>
            </w:pPr>
            <w:r>
              <w:rPr>
                <w:rFonts w:hint="eastAsia"/>
                <w:color w:val="auto"/>
                <w:sz w:val="24"/>
                <w:highlight w:val="none"/>
              </w:rPr>
              <w:t>本项目为非生产性项目，营运期间固废来源主要为沿线车辆随意丢弃的果皮、纸张和塑料包装等，由市政环卫部门定期清理。</w:t>
            </w:r>
          </w:p>
          <w:p>
            <w:pPr>
              <w:adjustRightInd w:val="0"/>
              <w:snapToGrid w:val="0"/>
              <w:spacing w:line="360" w:lineRule="auto"/>
              <w:ind w:left="420" w:leftChars="200"/>
              <w:rPr>
                <w:b/>
                <w:bCs/>
                <w:color w:val="auto"/>
                <w:sz w:val="24"/>
                <w:highlight w:val="none"/>
              </w:rPr>
            </w:pPr>
            <w:r>
              <w:rPr>
                <w:b/>
                <w:bCs/>
                <w:color w:val="auto"/>
                <w:sz w:val="24"/>
                <w:highlight w:val="none"/>
              </w:rPr>
              <w:t>4.噪声治理措施</w:t>
            </w:r>
          </w:p>
          <w:p>
            <w:pPr>
              <w:spacing w:line="360" w:lineRule="auto"/>
              <w:ind w:firstLine="480" w:firstLineChars="200"/>
              <w:rPr>
                <w:color w:val="auto"/>
                <w:sz w:val="24"/>
                <w:highlight w:val="none"/>
              </w:rPr>
            </w:pPr>
            <w:r>
              <w:rPr>
                <w:color w:val="auto"/>
                <w:sz w:val="24"/>
                <w:highlight w:val="none"/>
              </w:rPr>
              <w:t>营运期道路噪声主要来源为车辆行驶，拟采取以下措施减少道路噪声对周围环境的影响</w:t>
            </w:r>
            <w:r>
              <w:rPr>
                <w:rFonts w:hint="eastAsia"/>
                <w:color w:val="auto"/>
                <w:sz w:val="24"/>
                <w:highlight w:val="none"/>
              </w:rPr>
              <w:t>：</w:t>
            </w:r>
          </w:p>
          <w:p>
            <w:pPr>
              <w:numPr>
                <w:ilvl w:val="0"/>
                <w:numId w:val="3"/>
              </w:numPr>
              <w:spacing w:line="360" w:lineRule="auto"/>
              <w:rPr>
                <w:b/>
                <w:bCs/>
                <w:color w:val="auto"/>
                <w:sz w:val="24"/>
                <w:highlight w:val="none"/>
              </w:rPr>
            </w:pPr>
            <w:r>
              <w:rPr>
                <w:b/>
                <w:bCs/>
                <w:color w:val="auto"/>
                <w:sz w:val="24"/>
                <w:highlight w:val="none"/>
              </w:rPr>
              <w:t>运用交通管制措施</w:t>
            </w:r>
          </w:p>
          <w:p>
            <w:pPr>
              <w:spacing w:line="360" w:lineRule="auto"/>
              <w:ind w:firstLine="480" w:firstLineChars="200"/>
              <w:rPr>
                <w:color w:val="auto"/>
                <w:sz w:val="24"/>
                <w:highlight w:val="none"/>
              </w:rPr>
            </w:pPr>
            <w:r>
              <w:rPr>
                <w:color w:val="auto"/>
                <w:sz w:val="24"/>
                <w:highlight w:val="none"/>
              </w:rPr>
              <w:t>通过科学合理的交通管制来组织交通，如：进入该路段禁止</w:t>
            </w:r>
            <w:r>
              <w:rPr>
                <w:rFonts w:hint="eastAsia"/>
                <w:color w:val="auto"/>
                <w:sz w:val="24"/>
                <w:highlight w:val="none"/>
              </w:rPr>
              <w:t>鸣</w:t>
            </w:r>
            <w:r>
              <w:rPr>
                <w:color w:val="auto"/>
                <w:sz w:val="24"/>
                <w:highlight w:val="none"/>
              </w:rPr>
              <w:t>喇叭；某时段内禁止大型车辆进入该路段；调整和优化交通信号配时，使交通流顺畅通过交叉口，以减少减速、怠速、起动、加速发生的机率。</w:t>
            </w:r>
          </w:p>
          <w:p>
            <w:pPr>
              <w:numPr>
                <w:ilvl w:val="0"/>
                <w:numId w:val="3"/>
              </w:numPr>
              <w:spacing w:line="360" w:lineRule="auto"/>
              <w:rPr>
                <w:b/>
                <w:bCs/>
                <w:color w:val="auto"/>
                <w:sz w:val="24"/>
                <w:highlight w:val="none"/>
              </w:rPr>
            </w:pPr>
            <w:r>
              <w:rPr>
                <w:b/>
                <w:bCs/>
                <w:color w:val="auto"/>
                <w:sz w:val="24"/>
                <w:highlight w:val="none"/>
              </w:rPr>
              <w:t>在道路与受声点之间种植绿化林带</w:t>
            </w:r>
          </w:p>
          <w:p>
            <w:pPr>
              <w:spacing w:line="360" w:lineRule="auto"/>
              <w:ind w:firstLine="480" w:firstLineChars="200"/>
              <w:rPr>
                <w:rFonts w:hint="eastAsia"/>
                <w:color w:val="auto"/>
                <w:sz w:val="24"/>
                <w:highlight w:val="none"/>
              </w:rPr>
            </w:pPr>
            <w:r>
              <w:rPr>
                <w:color w:val="auto"/>
                <w:sz w:val="24"/>
                <w:highlight w:val="none"/>
              </w:rPr>
              <w:t>有关资料表明，高度高过视线4.5m以上的稠密树林，其深入30m可降噪5dB，深入60m可降噪10dB，树林的最大降噪值可达10dB。但对于城市道路，由于空间的限制，种植林带不符合实际，可以种植密集的松柏、侧柏等绿色长廊把机动车道与步行道隔离，在步行道和建筑之间再配以乔、灌木和草地等与道路环境相协调的植物群落。</w:t>
            </w:r>
          </w:p>
          <w:p>
            <w:pPr>
              <w:spacing w:line="360" w:lineRule="auto"/>
              <w:ind w:firstLine="420" w:firstLineChars="200"/>
              <w:rPr>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9" w:hRule="atLeast"/>
          <w:jc w:val="center"/>
        </w:trPr>
        <w:tc>
          <w:tcPr>
            <w:tcW w:w="753" w:type="dxa"/>
            <w:tcMar>
              <w:left w:w="28" w:type="dxa"/>
              <w:right w:w="28" w:type="dxa"/>
            </w:tcMar>
            <w:vAlign w:val="center"/>
          </w:tcPr>
          <w:p>
            <w:pPr>
              <w:adjustRightInd w:val="0"/>
              <w:snapToGrid w:val="0"/>
              <w:jc w:val="center"/>
              <w:rPr>
                <w:bCs/>
                <w:color w:val="auto"/>
                <w:spacing w:val="10"/>
                <w:szCs w:val="21"/>
                <w:highlight w:val="none"/>
              </w:rPr>
            </w:pPr>
            <w:r>
              <w:rPr>
                <w:bCs/>
                <w:color w:val="auto"/>
                <w:szCs w:val="21"/>
                <w:highlight w:val="none"/>
              </w:rPr>
              <w:t>其他</w:t>
            </w:r>
          </w:p>
        </w:tc>
        <w:tc>
          <w:tcPr>
            <w:tcW w:w="8457" w:type="dxa"/>
            <w:vAlign w:val="center"/>
          </w:tcPr>
          <w:p>
            <w:pPr>
              <w:spacing w:line="360" w:lineRule="auto"/>
              <w:rPr>
                <w:b/>
                <w:bCs/>
                <w:color w:val="auto"/>
                <w:sz w:val="24"/>
                <w:highlight w:val="none"/>
              </w:rPr>
            </w:pPr>
            <w:r>
              <w:rPr>
                <w:rFonts w:hint="eastAsia"/>
                <w:b/>
                <w:bCs/>
                <w:color w:val="auto"/>
                <w:sz w:val="24"/>
                <w:highlight w:val="none"/>
              </w:rPr>
              <w:t>施工期、运营期做好应急预案的编制以及建立应急联动机制</w:t>
            </w:r>
          </w:p>
          <w:p>
            <w:pPr>
              <w:spacing w:line="360" w:lineRule="auto"/>
              <w:ind w:firstLine="480" w:firstLineChars="200"/>
              <w:rPr>
                <w:color w:val="auto"/>
                <w:sz w:val="24"/>
                <w:highlight w:val="none"/>
              </w:rPr>
            </w:pPr>
            <w:r>
              <w:rPr>
                <w:rFonts w:hint="eastAsia"/>
                <w:color w:val="auto"/>
                <w:sz w:val="24"/>
                <w:highlight w:val="none"/>
              </w:rPr>
              <w:t>应急预案本着“安全第一，以人为本；预防为主、自救为主；统一指挥、分工负责；资源共享，应急救援”的原则，实行统一领导，分级响应，分工协作。将事前预防与事故应急有机结合，把应急预案管理的各项工作落实在日常管理之中，提高生产安全事故防范和救援能力，根据事故的不同情形的实际情况对应急预案做出及时调整，及时响应，迅速控制事态发展，消除事故影响。</w:t>
            </w:r>
          </w:p>
          <w:p>
            <w:pPr>
              <w:spacing w:line="360" w:lineRule="auto"/>
              <w:ind w:firstLine="480" w:firstLineChars="200"/>
              <w:rPr>
                <w:color w:val="auto"/>
                <w:sz w:val="24"/>
                <w:highlight w:val="none"/>
              </w:rPr>
            </w:pPr>
            <w:r>
              <w:rPr>
                <w:rFonts w:hint="eastAsia"/>
                <w:color w:val="auto"/>
                <w:sz w:val="24"/>
                <w:highlight w:val="none"/>
              </w:rPr>
              <w:t>针对施工过程中可能出现的事故（施工中交通事故、施工作业事故、现场防火事故）以及营运期过程可能出现的交通事故，进行事故源分析，建立健全的应急组织体系，包括预警体系、响应体系及救援体系等。施工期工人应做好应急演练，确保发生事故时，减少危害。</w:t>
            </w:r>
          </w:p>
          <w:p>
            <w:pPr>
              <w:pStyle w:val="3"/>
              <w:ind w:firstLine="480"/>
              <w:rPr>
                <w:color w:val="auto"/>
                <w:sz w:val="24"/>
                <w:highlight w:val="none"/>
              </w:rPr>
            </w:pPr>
          </w:p>
          <w:p>
            <w:pPr>
              <w:pStyle w:val="4"/>
              <w:ind w:firstLine="480"/>
              <w:rPr>
                <w:color w:val="auto"/>
                <w:sz w:val="24"/>
                <w:highlight w:val="none"/>
              </w:rPr>
            </w:pPr>
          </w:p>
          <w:p>
            <w:pPr>
              <w:pStyle w:val="4"/>
              <w:ind w:firstLine="480"/>
              <w:rPr>
                <w:color w:val="auto"/>
                <w:sz w:val="24"/>
                <w:highlight w:val="none"/>
              </w:rPr>
            </w:pPr>
          </w:p>
          <w:p>
            <w:pPr>
              <w:pStyle w:val="4"/>
              <w:ind w:firstLine="480"/>
              <w:rPr>
                <w:color w:val="auto"/>
                <w:sz w:val="24"/>
                <w:highlight w:val="none"/>
              </w:rPr>
            </w:pPr>
          </w:p>
          <w:p>
            <w:pPr>
              <w:pStyle w:val="4"/>
              <w:ind w:firstLine="480"/>
              <w:rPr>
                <w:color w:val="auto"/>
                <w:sz w:val="24"/>
                <w:highlight w:val="none"/>
              </w:rPr>
            </w:pPr>
          </w:p>
          <w:p>
            <w:pPr>
              <w:pStyle w:val="4"/>
              <w:ind w:firstLine="480"/>
              <w:rPr>
                <w:color w:val="auto"/>
                <w:sz w:val="24"/>
                <w:highlight w:val="none"/>
              </w:rPr>
            </w:pPr>
          </w:p>
          <w:p>
            <w:pPr>
              <w:pStyle w:val="4"/>
              <w:ind w:firstLine="480"/>
              <w:rPr>
                <w:color w:val="auto"/>
                <w:sz w:val="24"/>
                <w:highlight w:val="none"/>
              </w:rPr>
            </w:pPr>
          </w:p>
          <w:p>
            <w:pPr>
              <w:pStyle w:val="4"/>
              <w:ind w:firstLine="480"/>
              <w:rPr>
                <w:color w:val="auto"/>
                <w:sz w:val="24"/>
                <w:highlight w:val="none"/>
              </w:rPr>
            </w:pPr>
          </w:p>
          <w:p>
            <w:pPr>
              <w:pStyle w:val="4"/>
              <w:ind w:firstLine="480"/>
              <w:rPr>
                <w:color w:val="auto"/>
                <w:sz w:val="24"/>
                <w:highlight w:val="none"/>
              </w:rPr>
            </w:pPr>
          </w:p>
          <w:p>
            <w:pPr>
              <w:pStyle w:val="4"/>
              <w:ind w:firstLine="480"/>
              <w:rPr>
                <w:color w:val="auto"/>
                <w:sz w:val="24"/>
                <w:highlight w:val="none"/>
              </w:rPr>
            </w:pPr>
          </w:p>
          <w:p>
            <w:pPr>
              <w:pStyle w:val="4"/>
              <w:ind w:firstLine="480"/>
              <w:rPr>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72" w:hRule="atLeast"/>
          <w:jc w:val="center"/>
        </w:trPr>
        <w:tc>
          <w:tcPr>
            <w:tcW w:w="542" w:type="dxa"/>
            <w:vAlign w:val="center"/>
          </w:tcPr>
          <w:p>
            <w:pPr>
              <w:adjustRightInd w:val="0"/>
              <w:snapToGrid w:val="0"/>
              <w:jc w:val="center"/>
              <w:rPr>
                <w:bCs/>
                <w:color w:val="auto"/>
                <w:spacing w:val="10"/>
                <w:szCs w:val="21"/>
                <w:highlight w:val="none"/>
              </w:rPr>
            </w:pPr>
            <w:r>
              <w:rPr>
                <w:bCs/>
                <w:color w:val="auto"/>
                <w:szCs w:val="21"/>
                <w:highlight w:val="none"/>
              </w:rPr>
              <w:t>环保投资</w:t>
            </w:r>
          </w:p>
        </w:tc>
        <w:tc>
          <w:tcPr>
            <w:tcW w:w="8668" w:type="dxa"/>
          </w:tcPr>
          <w:p>
            <w:pPr>
              <w:spacing w:line="400" w:lineRule="exact"/>
              <w:jc w:val="center"/>
              <w:rPr>
                <w:b/>
                <w:color w:val="auto"/>
                <w:szCs w:val="21"/>
                <w:highlight w:val="none"/>
              </w:rPr>
            </w:pPr>
            <w:r>
              <w:rPr>
                <w:b/>
                <w:color w:val="auto"/>
                <w:szCs w:val="21"/>
                <w:highlight w:val="none"/>
              </w:rPr>
              <w:t>表5-1建设项目环保投资一览表</w:t>
            </w:r>
          </w:p>
          <w:tbl>
            <w:tblPr>
              <w:tblStyle w:val="1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3"/>
              <w:gridCol w:w="654"/>
              <w:gridCol w:w="968"/>
              <w:gridCol w:w="3281"/>
              <w:gridCol w:w="1099"/>
              <w:gridCol w:w="856"/>
              <w:gridCol w:w="75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43" w:type="dxa"/>
                  <w:vAlign w:val="center"/>
                </w:tcPr>
                <w:p>
                  <w:pPr>
                    <w:jc w:val="center"/>
                    <w:rPr>
                      <w:b/>
                      <w:bCs/>
                      <w:color w:val="auto"/>
                      <w:szCs w:val="21"/>
                      <w:highlight w:val="none"/>
                    </w:rPr>
                  </w:pPr>
                  <w:r>
                    <w:rPr>
                      <w:b/>
                      <w:bCs/>
                      <w:color w:val="auto"/>
                      <w:szCs w:val="21"/>
                      <w:highlight w:val="none"/>
                    </w:rPr>
                    <w:t>项目名称</w:t>
                  </w:r>
                </w:p>
              </w:tc>
              <w:tc>
                <w:tcPr>
                  <w:tcW w:w="7610" w:type="dxa"/>
                  <w:gridSpan w:val="6"/>
                  <w:vAlign w:val="center"/>
                </w:tcPr>
                <w:p>
                  <w:pPr>
                    <w:ind w:leftChars="-3" w:hanging="6" w:hangingChars="3"/>
                    <w:jc w:val="center"/>
                    <w:rPr>
                      <w:color w:val="auto"/>
                      <w:szCs w:val="21"/>
                      <w:highlight w:val="none"/>
                    </w:rPr>
                  </w:pPr>
                  <w:r>
                    <w:rPr>
                      <w:rFonts w:hint="eastAsia"/>
                      <w:color w:val="auto"/>
                      <w:kern w:val="0"/>
                      <w:szCs w:val="21"/>
                      <w:highlight w:val="none"/>
                    </w:rPr>
                    <w:t>苏州工业园区市政建设管理中心建设扬东路西延工程项目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643" w:type="dxa"/>
                  <w:vAlign w:val="center"/>
                </w:tcPr>
                <w:p>
                  <w:pPr>
                    <w:jc w:val="center"/>
                    <w:rPr>
                      <w:b/>
                      <w:bCs/>
                      <w:color w:val="auto"/>
                      <w:szCs w:val="21"/>
                      <w:highlight w:val="none"/>
                    </w:rPr>
                  </w:pPr>
                  <w:r>
                    <w:rPr>
                      <w:rFonts w:hint="eastAsia"/>
                      <w:b/>
                      <w:bCs/>
                      <w:color w:val="auto"/>
                      <w:szCs w:val="21"/>
                      <w:highlight w:val="none"/>
                    </w:rPr>
                    <w:t>类别</w:t>
                  </w:r>
                </w:p>
              </w:tc>
              <w:tc>
                <w:tcPr>
                  <w:tcW w:w="654" w:type="dxa"/>
                  <w:vAlign w:val="center"/>
                </w:tcPr>
                <w:p>
                  <w:pPr>
                    <w:jc w:val="center"/>
                    <w:rPr>
                      <w:b/>
                      <w:bCs/>
                      <w:color w:val="auto"/>
                      <w:szCs w:val="21"/>
                      <w:highlight w:val="none"/>
                    </w:rPr>
                  </w:pPr>
                  <w:r>
                    <w:rPr>
                      <w:b/>
                      <w:bCs/>
                      <w:color w:val="auto"/>
                      <w:szCs w:val="21"/>
                      <w:highlight w:val="none"/>
                    </w:rPr>
                    <w:t>污染源</w:t>
                  </w:r>
                </w:p>
              </w:tc>
              <w:tc>
                <w:tcPr>
                  <w:tcW w:w="968" w:type="dxa"/>
                  <w:vAlign w:val="center"/>
                </w:tcPr>
                <w:p>
                  <w:pPr>
                    <w:jc w:val="center"/>
                    <w:rPr>
                      <w:b/>
                      <w:bCs/>
                      <w:color w:val="auto"/>
                      <w:szCs w:val="21"/>
                      <w:highlight w:val="none"/>
                    </w:rPr>
                  </w:pPr>
                  <w:r>
                    <w:rPr>
                      <w:rFonts w:hint="eastAsia"/>
                      <w:b/>
                      <w:bCs/>
                      <w:color w:val="auto"/>
                      <w:szCs w:val="21"/>
                      <w:highlight w:val="none"/>
                    </w:rPr>
                    <w:t>污染物</w:t>
                  </w:r>
                </w:p>
              </w:tc>
              <w:tc>
                <w:tcPr>
                  <w:tcW w:w="3281" w:type="dxa"/>
                  <w:vAlign w:val="center"/>
                </w:tcPr>
                <w:p>
                  <w:pPr>
                    <w:jc w:val="center"/>
                    <w:rPr>
                      <w:b/>
                      <w:bCs/>
                      <w:color w:val="auto"/>
                      <w:szCs w:val="21"/>
                      <w:highlight w:val="none"/>
                    </w:rPr>
                  </w:pPr>
                  <w:r>
                    <w:rPr>
                      <w:rFonts w:hint="eastAsia"/>
                      <w:b/>
                      <w:bCs/>
                      <w:color w:val="auto"/>
                      <w:szCs w:val="21"/>
                      <w:highlight w:val="none"/>
                    </w:rPr>
                    <w:t>治理措施</w:t>
                  </w:r>
                </w:p>
              </w:tc>
              <w:tc>
                <w:tcPr>
                  <w:tcW w:w="1099" w:type="dxa"/>
                  <w:vAlign w:val="center"/>
                </w:tcPr>
                <w:p>
                  <w:pPr>
                    <w:jc w:val="center"/>
                    <w:rPr>
                      <w:b/>
                      <w:bCs/>
                      <w:color w:val="auto"/>
                      <w:szCs w:val="21"/>
                      <w:highlight w:val="none"/>
                    </w:rPr>
                  </w:pPr>
                  <w:r>
                    <w:rPr>
                      <w:b/>
                      <w:bCs/>
                      <w:color w:val="auto"/>
                      <w:szCs w:val="21"/>
                      <w:highlight w:val="none"/>
                    </w:rPr>
                    <w:t>环保投资（万元）</w:t>
                  </w:r>
                </w:p>
              </w:tc>
              <w:tc>
                <w:tcPr>
                  <w:tcW w:w="856" w:type="dxa"/>
                  <w:vAlign w:val="center"/>
                </w:tcPr>
                <w:p>
                  <w:pPr>
                    <w:ind w:leftChars="-3" w:hanging="6" w:hangingChars="3"/>
                    <w:jc w:val="center"/>
                    <w:rPr>
                      <w:b/>
                      <w:bCs/>
                      <w:color w:val="auto"/>
                      <w:szCs w:val="21"/>
                      <w:highlight w:val="none"/>
                    </w:rPr>
                  </w:pPr>
                  <w:r>
                    <w:rPr>
                      <w:rFonts w:hint="eastAsia"/>
                      <w:b/>
                      <w:bCs/>
                      <w:color w:val="auto"/>
                      <w:szCs w:val="21"/>
                      <w:highlight w:val="none"/>
                    </w:rPr>
                    <w:t>处理</w:t>
                  </w:r>
                  <w:r>
                    <w:rPr>
                      <w:b/>
                      <w:bCs/>
                      <w:color w:val="auto"/>
                      <w:szCs w:val="21"/>
                      <w:highlight w:val="none"/>
                    </w:rPr>
                    <w:t>效果</w:t>
                  </w:r>
                </w:p>
              </w:tc>
              <w:tc>
                <w:tcPr>
                  <w:tcW w:w="752" w:type="dxa"/>
                  <w:vAlign w:val="center"/>
                </w:tcPr>
                <w:p>
                  <w:pPr>
                    <w:ind w:leftChars="-3" w:hanging="6" w:hangingChars="3"/>
                    <w:jc w:val="center"/>
                    <w:rPr>
                      <w:b/>
                      <w:bCs/>
                      <w:color w:val="auto"/>
                      <w:szCs w:val="21"/>
                      <w:highlight w:val="none"/>
                    </w:rPr>
                  </w:pPr>
                  <w:r>
                    <w:rPr>
                      <w:b/>
                      <w:bCs/>
                      <w:color w:val="auto"/>
                      <w:szCs w:val="21"/>
                      <w:highlight w:val="none"/>
                    </w:rPr>
                    <w:t>完成时间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643" w:type="dxa"/>
                  <w:vMerge w:val="restart"/>
                  <w:vAlign w:val="center"/>
                </w:tcPr>
                <w:p>
                  <w:pPr>
                    <w:snapToGrid w:val="0"/>
                    <w:jc w:val="center"/>
                    <w:rPr>
                      <w:color w:val="auto"/>
                      <w:szCs w:val="21"/>
                      <w:highlight w:val="none"/>
                    </w:rPr>
                  </w:pPr>
                  <w:r>
                    <w:rPr>
                      <w:rFonts w:hint="eastAsia"/>
                      <w:color w:val="auto"/>
                      <w:szCs w:val="21"/>
                      <w:highlight w:val="none"/>
                    </w:rPr>
                    <w:t>噪声</w:t>
                  </w:r>
                </w:p>
              </w:tc>
              <w:tc>
                <w:tcPr>
                  <w:tcW w:w="1622" w:type="dxa"/>
                  <w:gridSpan w:val="2"/>
                  <w:vAlign w:val="center"/>
                </w:tcPr>
                <w:p>
                  <w:pPr>
                    <w:snapToGrid w:val="0"/>
                    <w:spacing w:line="360" w:lineRule="exact"/>
                    <w:jc w:val="center"/>
                    <w:rPr>
                      <w:color w:val="auto"/>
                      <w:szCs w:val="21"/>
                      <w:highlight w:val="none"/>
                    </w:rPr>
                  </w:pPr>
                  <w:r>
                    <w:rPr>
                      <w:rFonts w:hint="eastAsia"/>
                      <w:color w:val="auto"/>
                      <w:szCs w:val="21"/>
                      <w:highlight w:val="none"/>
                    </w:rPr>
                    <w:t>施工期</w:t>
                  </w:r>
                </w:p>
              </w:tc>
              <w:tc>
                <w:tcPr>
                  <w:tcW w:w="3281" w:type="dxa"/>
                  <w:vAlign w:val="center"/>
                </w:tcPr>
                <w:p>
                  <w:pPr>
                    <w:pStyle w:val="23"/>
                    <w:jc w:val="center"/>
                    <w:rPr>
                      <w:color w:val="auto"/>
                      <w:sz w:val="21"/>
                      <w:szCs w:val="21"/>
                      <w:highlight w:val="none"/>
                    </w:rPr>
                  </w:pPr>
                  <w:r>
                    <w:rPr>
                      <w:rFonts w:hint="eastAsia"/>
                      <w:color w:val="auto"/>
                      <w:sz w:val="21"/>
                      <w:szCs w:val="21"/>
                      <w:highlight w:val="none"/>
                    </w:rPr>
                    <w:t>减少机械动力的振动等措施</w:t>
                  </w:r>
                </w:p>
              </w:tc>
              <w:tc>
                <w:tcPr>
                  <w:tcW w:w="1099" w:type="dxa"/>
                  <w:vMerge w:val="restart"/>
                  <w:vAlign w:val="center"/>
                </w:tcPr>
                <w:p>
                  <w:pPr>
                    <w:snapToGrid w:val="0"/>
                    <w:jc w:val="center"/>
                    <w:rPr>
                      <w:rFonts w:hint="default" w:eastAsia="宋体"/>
                      <w:color w:val="auto"/>
                      <w:szCs w:val="21"/>
                      <w:highlight w:val="none"/>
                      <w:lang w:val="en-US" w:eastAsia="zh-CN"/>
                    </w:rPr>
                  </w:pPr>
                  <w:r>
                    <w:rPr>
                      <w:rFonts w:hint="eastAsia"/>
                      <w:color w:val="auto"/>
                      <w:szCs w:val="21"/>
                      <w:highlight w:val="none"/>
                    </w:rPr>
                    <w:t>1</w:t>
                  </w:r>
                  <w:r>
                    <w:rPr>
                      <w:rFonts w:hint="eastAsia"/>
                      <w:color w:val="auto"/>
                      <w:szCs w:val="21"/>
                      <w:highlight w:val="none"/>
                      <w:lang w:val="en-US" w:eastAsia="zh-CN"/>
                    </w:rPr>
                    <w:t>15</w:t>
                  </w:r>
                </w:p>
              </w:tc>
              <w:tc>
                <w:tcPr>
                  <w:tcW w:w="856" w:type="dxa"/>
                  <w:vAlign w:val="center"/>
                </w:tcPr>
                <w:p>
                  <w:pPr>
                    <w:snapToGrid w:val="0"/>
                    <w:jc w:val="center"/>
                    <w:rPr>
                      <w:color w:val="auto"/>
                      <w:szCs w:val="21"/>
                      <w:highlight w:val="none"/>
                    </w:rPr>
                  </w:pPr>
                  <w:r>
                    <w:rPr>
                      <w:rFonts w:hint="eastAsia"/>
                      <w:color w:val="auto"/>
                      <w:szCs w:val="21"/>
                      <w:highlight w:val="none"/>
                    </w:rPr>
                    <w:t>达到相关标准，</w:t>
                  </w:r>
                  <w:r>
                    <w:rPr>
                      <w:color w:val="auto"/>
                      <w:szCs w:val="21"/>
                      <w:highlight w:val="none"/>
                    </w:rPr>
                    <w:t>噪声达标</w:t>
                  </w:r>
                </w:p>
              </w:tc>
              <w:tc>
                <w:tcPr>
                  <w:tcW w:w="752" w:type="dxa"/>
                  <w:vMerge w:val="restart"/>
                  <w:vAlign w:val="center"/>
                </w:tcPr>
                <w:p>
                  <w:pPr>
                    <w:pStyle w:val="23"/>
                    <w:jc w:val="center"/>
                    <w:rPr>
                      <w:color w:val="auto"/>
                      <w:sz w:val="21"/>
                      <w:szCs w:val="21"/>
                      <w:highlight w:val="none"/>
                    </w:rPr>
                  </w:pPr>
                  <w:r>
                    <w:rPr>
                      <w:color w:val="auto"/>
                      <w:sz w:val="21"/>
                      <w:szCs w:val="21"/>
                      <w:highlight w:val="none"/>
                    </w:rPr>
                    <w:t>同时设计、同时施工、同时投产</w:t>
                  </w:r>
                </w:p>
                <w:p>
                  <w:pPr>
                    <w:snapToGrid w:val="0"/>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643" w:type="dxa"/>
                  <w:vMerge w:val="continue"/>
                  <w:vAlign w:val="center"/>
                </w:tcPr>
                <w:p>
                  <w:pPr>
                    <w:snapToGrid w:val="0"/>
                    <w:jc w:val="center"/>
                    <w:rPr>
                      <w:color w:val="auto"/>
                      <w:szCs w:val="21"/>
                      <w:highlight w:val="none"/>
                    </w:rPr>
                  </w:pPr>
                </w:p>
              </w:tc>
              <w:tc>
                <w:tcPr>
                  <w:tcW w:w="1622" w:type="dxa"/>
                  <w:gridSpan w:val="2"/>
                  <w:vAlign w:val="center"/>
                </w:tcPr>
                <w:p>
                  <w:pPr>
                    <w:snapToGrid w:val="0"/>
                    <w:spacing w:line="360" w:lineRule="exact"/>
                    <w:jc w:val="center"/>
                    <w:rPr>
                      <w:color w:val="auto"/>
                      <w:szCs w:val="21"/>
                      <w:highlight w:val="none"/>
                    </w:rPr>
                  </w:pPr>
                  <w:r>
                    <w:rPr>
                      <w:rFonts w:hint="eastAsia"/>
                      <w:color w:val="auto"/>
                      <w:szCs w:val="21"/>
                      <w:highlight w:val="none"/>
                    </w:rPr>
                    <w:t>运营期</w:t>
                  </w:r>
                </w:p>
              </w:tc>
              <w:tc>
                <w:tcPr>
                  <w:tcW w:w="3281" w:type="dxa"/>
                  <w:vAlign w:val="center"/>
                </w:tcPr>
                <w:p>
                  <w:pPr>
                    <w:pStyle w:val="23"/>
                    <w:jc w:val="center"/>
                    <w:rPr>
                      <w:color w:val="auto"/>
                      <w:sz w:val="21"/>
                      <w:szCs w:val="21"/>
                      <w:highlight w:val="none"/>
                    </w:rPr>
                  </w:pPr>
                  <w:r>
                    <w:rPr>
                      <w:rFonts w:hint="eastAsia"/>
                      <w:color w:val="auto"/>
                      <w:sz w:val="21"/>
                      <w:szCs w:val="21"/>
                      <w:highlight w:val="none"/>
                    </w:rPr>
                    <w:t>设立禁鸣标志等措施，道路两侧种植绿化</w:t>
                  </w:r>
                </w:p>
              </w:tc>
              <w:tc>
                <w:tcPr>
                  <w:tcW w:w="1099" w:type="dxa"/>
                  <w:vMerge w:val="continue"/>
                  <w:vAlign w:val="center"/>
                </w:tcPr>
                <w:p>
                  <w:pPr>
                    <w:snapToGrid w:val="0"/>
                    <w:jc w:val="center"/>
                    <w:rPr>
                      <w:color w:val="auto"/>
                      <w:szCs w:val="21"/>
                      <w:highlight w:val="none"/>
                    </w:rPr>
                  </w:pPr>
                </w:p>
              </w:tc>
              <w:tc>
                <w:tcPr>
                  <w:tcW w:w="856" w:type="dxa"/>
                  <w:vAlign w:val="center"/>
                </w:tcPr>
                <w:p>
                  <w:pPr>
                    <w:snapToGrid w:val="0"/>
                    <w:jc w:val="center"/>
                    <w:rPr>
                      <w:color w:val="auto"/>
                      <w:szCs w:val="21"/>
                      <w:highlight w:val="none"/>
                    </w:rPr>
                  </w:pPr>
                  <w:r>
                    <w:rPr>
                      <w:rFonts w:hint="eastAsia"/>
                      <w:color w:val="auto"/>
                      <w:szCs w:val="21"/>
                      <w:highlight w:val="none"/>
                    </w:rPr>
                    <w:t>达到相关标准，</w:t>
                  </w:r>
                  <w:r>
                    <w:rPr>
                      <w:color w:val="auto"/>
                      <w:szCs w:val="21"/>
                      <w:highlight w:val="none"/>
                    </w:rPr>
                    <w:t>噪声达标</w:t>
                  </w:r>
                </w:p>
              </w:tc>
              <w:tc>
                <w:tcPr>
                  <w:tcW w:w="752" w:type="dxa"/>
                  <w:vMerge w:val="continue"/>
                  <w:vAlign w:val="center"/>
                </w:tcPr>
                <w:p>
                  <w:pPr>
                    <w:snapToGrid w:val="0"/>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643" w:type="dxa"/>
                  <w:vMerge w:val="restart"/>
                  <w:vAlign w:val="center"/>
                </w:tcPr>
                <w:p>
                  <w:pPr>
                    <w:snapToGrid w:val="0"/>
                    <w:jc w:val="center"/>
                    <w:rPr>
                      <w:color w:val="auto"/>
                      <w:szCs w:val="21"/>
                      <w:highlight w:val="none"/>
                    </w:rPr>
                  </w:pPr>
                  <w:r>
                    <w:rPr>
                      <w:rFonts w:hint="eastAsia"/>
                      <w:color w:val="auto"/>
                      <w:szCs w:val="21"/>
                      <w:highlight w:val="none"/>
                    </w:rPr>
                    <w:t>废水</w:t>
                  </w:r>
                </w:p>
              </w:tc>
              <w:tc>
                <w:tcPr>
                  <w:tcW w:w="654" w:type="dxa"/>
                  <w:vAlign w:val="center"/>
                </w:tcPr>
                <w:p>
                  <w:pPr>
                    <w:snapToGrid w:val="0"/>
                    <w:jc w:val="center"/>
                    <w:rPr>
                      <w:color w:val="auto"/>
                      <w:szCs w:val="21"/>
                      <w:highlight w:val="none"/>
                    </w:rPr>
                  </w:pPr>
                  <w:r>
                    <w:rPr>
                      <w:color w:val="auto"/>
                      <w:szCs w:val="21"/>
                      <w:highlight w:val="none"/>
                    </w:rPr>
                    <w:t>施工期废水</w:t>
                  </w:r>
                </w:p>
              </w:tc>
              <w:tc>
                <w:tcPr>
                  <w:tcW w:w="968" w:type="dxa"/>
                  <w:vAlign w:val="center"/>
                </w:tcPr>
                <w:p>
                  <w:pPr>
                    <w:rPr>
                      <w:color w:val="auto"/>
                      <w:szCs w:val="21"/>
                      <w:highlight w:val="none"/>
                    </w:rPr>
                  </w:pPr>
                  <w:r>
                    <w:rPr>
                      <w:rFonts w:hint="eastAsia"/>
                      <w:color w:val="auto"/>
                      <w:szCs w:val="21"/>
                      <w:highlight w:val="none"/>
                    </w:rPr>
                    <w:t>施工废水沉淀</w:t>
                  </w:r>
                </w:p>
              </w:tc>
              <w:tc>
                <w:tcPr>
                  <w:tcW w:w="3281" w:type="dxa"/>
                  <w:vAlign w:val="center"/>
                </w:tcPr>
                <w:p>
                  <w:pPr>
                    <w:snapToGrid w:val="0"/>
                    <w:jc w:val="center"/>
                    <w:rPr>
                      <w:color w:val="auto"/>
                      <w:szCs w:val="21"/>
                      <w:highlight w:val="none"/>
                    </w:rPr>
                  </w:pPr>
                  <w:r>
                    <w:rPr>
                      <w:color w:val="auto"/>
                      <w:szCs w:val="21"/>
                      <w:highlight w:val="none"/>
                    </w:rPr>
                    <w:t>作业区设置施工废水隔油沉淀池</w:t>
                  </w:r>
                </w:p>
              </w:tc>
              <w:tc>
                <w:tcPr>
                  <w:tcW w:w="1099" w:type="dxa"/>
                  <w:vMerge w:val="restart"/>
                  <w:vAlign w:val="center"/>
                </w:tcPr>
                <w:p>
                  <w:pPr>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113.6</w:t>
                  </w:r>
                </w:p>
              </w:tc>
              <w:tc>
                <w:tcPr>
                  <w:tcW w:w="856" w:type="dxa"/>
                  <w:vAlign w:val="center"/>
                </w:tcPr>
                <w:p>
                  <w:pPr>
                    <w:snapToGrid w:val="0"/>
                    <w:jc w:val="center"/>
                    <w:rPr>
                      <w:color w:val="auto"/>
                      <w:szCs w:val="21"/>
                      <w:highlight w:val="none"/>
                    </w:rPr>
                  </w:pPr>
                  <w:r>
                    <w:rPr>
                      <w:color w:val="auto"/>
                      <w:szCs w:val="21"/>
                      <w:highlight w:val="none"/>
                    </w:rPr>
                    <w:t>施工废水处理后回用</w:t>
                  </w:r>
                </w:p>
              </w:tc>
              <w:tc>
                <w:tcPr>
                  <w:tcW w:w="752" w:type="dxa"/>
                  <w:vMerge w:val="continue"/>
                  <w:vAlign w:val="center"/>
                </w:tcPr>
                <w:p>
                  <w:pPr>
                    <w:snapToGrid w:val="0"/>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643" w:type="dxa"/>
                  <w:vMerge w:val="continue"/>
                  <w:vAlign w:val="center"/>
                </w:tcPr>
                <w:p>
                  <w:pPr>
                    <w:snapToGrid w:val="0"/>
                    <w:jc w:val="center"/>
                    <w:rPr>
                      <w:color w:val="auto"/>
                      <w:szCs w:val="21"/>
                      <w:highlight w:val="none"/>
                    </w:rPr>
                  </w:pPr>
                </w:p>
              </w:tc>
              <w:tc>
                <w:tcPr>
                  <w:tcW w:w="654" w:type="dxa"/>
                  <w:vAlign w:val="center"/>
                </w:tcPr>
                <w:p>
                  <w:pPr>
                    <w:snapToGrid w:val="0"/>
                    <w:jc w:val="center"/>
                    <w:rPr>
                      <w:color w:val="auto"/>
                      <w:szCs w:val="21"/>
                      <w:highlight w:val="none"/>
                    </w:rPr>
                  </w:pPr>
                  <w:r>
                    <w:rPr>
                      <w:rFonts w:hint="eastAsia"/>
                      <w:color w:val="auto"/>
                      <w:szCs w:val="21"/>
                      <w:highlight w:val="none"/>
                    </w:rPr>
                    <w:t>运营期路面径流</w:t>
                  </w:r>
                </w:p>
              </w:tc>
              <w:tc>
                <w:tcPr>
                  <w:tcW w:w="968" w:type="dxa"/>
                  <w:vAlign w:val="center"/>
                </w:tcPr>
                <w:p>
                  <w:pPr>
                    <w:snapToGrid w:val="0"/>
                    <w:jc w:val="center"/>
                    <w:rPr>
                      <w:color w:val="auto"/>
                      <w:szCs w:val="21"/>
                      <w:highlight w:val="none"/>
                    </w:rPr>
                  </w:pPr>
                  <w:r>
                    <w:rPr>
                      <w:rFonts w:hint="eastAsia"/>
                      <w:color w:val="auto"/>
                      <w:szCs w:val="21"/>
                      <w:highlight w:val="none"/>
                    </w:rPr>
                    <w:t>COD、SS</w:t>
                  </w:r>
                </w:p>
              </w:tc>
              <w:tc>
                <w:tcPr>
                  <w:tcW w:w="3281" w:type="dxa"/>
                  <w:vAlign w:val="center"/>
                </w:tcPr>
                <w:p>
                  <w:pPr>
                    <w:snapToGrid w:val="0"/>
                    <w:jc w:val="center"/>
                    <w:rPr>
                      <w:color w:val="auto"/>
                      <w:szCs w:val="21"/>
                      <w:highlight w:val="none"/>
                    </w:rPr>
                  </w:pPr>
                  <w:r>
                    <w:rPr>
                      <w:rFonts w:hint="eastAsia"/>
                      <w:color w:val="auto"/>
                      <w:szCs w:val="21"/>
                      <w:highlight w:val="none"/>
                    </w:rPr>
                    <w:t>路</w:t>
                  </w:r>
                  <w:r>
                    <w:rPr>
                      <w:color w:val="auto"/>
                      <w:szCs w:val="21"/>
                      <w:highlight w:val="none"/>
                    </w:rPr>
                    <w:t>面及桥面径流污水污染浓度</w:t>
                  </w:r>
                  <w:r>
                    <w:rPr>
                      <w:rFonts w:hint="eastAsia"/>
                      <w:color w:val="auto"/>
                      <w:szCs w:val="21"/>
                      <w:highlight w:val="none"/>
                    </w:rPr>
                    <w:t>低</w:t>
                  </w:r>
                  <w:r>
                    <w:rPr>
                      <w:color w:val="auto"/>
                      <w:szCs w:val="21"/>
                      <w:highlight w:val="none"/>
                    </w:rPr>
                    <w:t>，径流污水经雨水收集系统收集后排至市政雨水管网</w:t>
                  </w:r>
                  <w:r>
                    <w:rPr>
                      <w:rFonts w:hint="eastAsia"/>
                      <w:color w:val="auto"/>
                      <w:szCs w:val="21"/>
                      <w:highlight w:val="none"/>
                    </w:rPr>
                    <w:t>。</w:t>
                  </w:r>
                </w:p>
              </w:tc>
              <w:tc>
                <w:tcPr>
                  <w:tcW w:w="1099" w:type="dxa"/>
                  <w:vMerge w:val="continue"/>
                  <w:vAlign w:val="center"/>
                </w:tcPr>
                <w:p>
                  <w:pPr>
                    <w:snapToGrid w:val="0"/>
                    <w:jc w:val="center"/>
                    <w:rPr>
                      <w:color w:val="auto"/>
                      <w:szCs w:val="21"/>
                      <w:highlight w:val="none"/>
                    </w:rPr>
                  </w:pPr>
                </w:p>
              </w:tc>
              <w:tc>
                <w:tcPr>
                  <w:tcW w:w="856" w:type="dxa"/>
                  <w:vAlign w:val="center"/>
                </w:tcPr>
                <w:p>
                  <w:pPr>
                    <w:snapToGrid w:val="0"/>
                    <w:jc w:val="center"/>
                    <w:rPr>
                      <w:color w:val="auto"/>
                      <w:szCs w:val="21"/>
                      <w:highlight w:val="none"/>
                    </w:rPr>
                  </w:pPr>
                  <w:r>
                    <w:rPr>
                      <w:rFonts w:hint="eastAsia"/>
                      <w:color w:val="auto"/>
                      <w:szCs w:val="21"/>
                      <w:highlight w:val="none"/>
                    </w:rPr>
                    <w:t>接管雨水管网</w:t>
                  </w:r>
                </w:p>
              </w:tc>
              <w:tc>
                <w:tcPr>
                  <w:tcW w:w="752" w:type="dxa"/>
                  <w:vMerge w:val="continue"/>
                  <w:vAlign w:val="center"/>
                </w:tcPr>
                <w:p>
                  <w:pPr>
                    <w:snapToGrid w:val="0"/>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643" w:type="dxa"/>
                  <w:vMerge w:val="restart"/>
                  <w:vAlign w:val="center"/>
                </w:tcPr>
                <w:p>
                  <w:pPr>
                    <w:snapToGrid w:val="0"/>
                    <w:jc w:val="center"/>
                    <w:rPr>
                      <w:color w:val="auto"/>
                      <w:szCs w:val="21"/>
                      <w:highlight w:val="none"/>
                    </w:rPr>
                  </w:pPr>
                  <w:r>
                    <w:rPr>
                      <w:rFonts w:hint="eastAsia"/>
                      <w:color w:val="auto"/>
                      <w:szCs w:val="21"/>
                      <w:highlight w:val="none"/>
                    </w:rPr>
                    <w:t>废气</w:t>
                  </w:r>
                </w:p>
              </w:tc>
              <w:tc>
                <w:tcPr>
                  <w:tcW w:w="654" w:type="dxa"/>
                  <w:vAlign w:val="center"/>
                </w:tcPr>
                <w:p>
                  <w:pPr>
                    <w:snapToGrid w:val="0"/>
                    <w:jc w:val="center"/>
                    <w:rPr>
                      <w:color w:val="auto"/>
                      <w:szCs w:val="21"/>
                      <w:highlight w:val="none"/>
                    </w:rPr>
                  </w:pPr>
                  <w:r>
                    <w:rPr>
                      <w:color w:val="auto"/>
                      <w:szCs w:val="21"/>
                      <w:highlight w:val="none"/>
                    </w:rPr>
                    <w:t>施工期废气</w:t>
                  </w:r>
                </w:p>
              </w:tc>
              <w:tc>
                <w:tcPr>
                  <w:tcW w:w="968" w:type="dxa"/>
                  <w:vAlign w:val="center"/>
                </w:tcPr>
                <w:p>
                  <w:pPr>
                    <w:snapToGrid w:val="0"/>
                    <w:jc w:val="center"/>
                    <w:rPr>
                      <w:color w:val="auto"/>
                      <w:szCs w:val="21"/>
                      <w:highlight w:val="none"/>
                    </w:rPr>
                  </w:pPr>
                  <w:r>
                    <w:rPr>
                      <w:rFonts w:hint="eastAsia"/>
                      <w:color w:val="auto"/>
                      <w:szCs w:val="21"/>
                      <w:highlight w:val="none"/>
                    </w:rPr>
                    <w:t>尘土、汽车尾气</w:t>
                  </w:r>
                </w:p>
              </w:tc>
              <w:tc>
                <w:tcPr>
                  <w:tcW w:w="3281" w:type="dxa"/>
                  <w:vAlign w:val="center"/>
                </w:tcPr>
                <w:p>
                  <w:pPr>
                    <w:snapToGrid w:val="0"/>
                    <w:jc w:val="center"/>
                    <w:rPr>
                      <w:color w:val="auto"/>
                      <w:szCs w:val="21"/>
                      <w:highlight w:val="none"/>
                    </w:rPr>
                  </w:pPr>
                  <w:r>
                    <w:rPr>
                      <w:color w:val="auto"/>
                      <w:szCs w:val="21"/>
                      <w:highlight w:val="none"/>
                    </w:rPr>
                    <w:t>设置围挡、运输车辆覆盖、施工现场洒水等</w:t>
                  </w:r>
                  <w:r>
                    <w:rPr>
                      <w:rFonts w:hint="eastAsia"/>
                      <w:color w:val="auto"/>
                      <w:szCs w:val="21"/>
                      <w:highlight w:val="none"/>
                    </w:rPr>
                    <w:t>。</w:t>
                  </w:r>
                </w:p>
              </w:tc>
              <w:tc>
                <w:tcPr>
                  <w:tcW w:w="1099" w:type="dxa"/>
                  <w:vMerge w:val="restart"/>
                  <w:vAlign w:val="center"/>
                </w:tcPr>
                <w:p>
                  <w:pPr>
                    <w:snapToGrid w:val="0"/>
                    <w:jc w:val="center"/>
                    <w:rPr>
                      <w:rFonts w:hint="default" w:eastAsia="宋体"/>
                      <w:color w:val="auto"/>
                      <w:szCs w:val="21"/>
                      <w:highlight w:val="none"/>
                      <w:lang w:val="en-US" w:eastAsia="zh-CN"/>
                    </w:rPr>
                  </w:pPr>
                  <w:r>
                    <w:rPr>
                      <w:rFonts w:hint="eastAsia"/>
                      <w:color w:val="auto"/>
                      <w:szCs w:val="21"/>
                      <w:highlight w:val="none"/>
                    </w:rPr>
                    <w:t>1</w:t>
                  </w:r>
                  <w:r>
                    <w:rPr>
                      <w:rFonts w:hint="eastAsia"/>
                      <w:color w:val="auto"/>
                      <w:szCs w:val="21"/>
                      <w:highlight w:val="none"/>
                      <w:lang w:val="en-US" w:eastAsia="zh-CN"/>
                    </w:rPr>
                    <w:t>14.2</w:t>
                  </w:r>
                </w:p>
              </w:tc>
              <w:tc>
                <w:tcPr>
                  <w:tcW w:w="856" w:type="dxa"/>
                  <w:vAlign w:val="center"/>
                </w:tcPr>
                <w:p>
                  <w:pPr>
                    <w:snapToGrid w:val="0"/>
                    <w:jc w:val="center"/>
                    <w:rPr>
                      <w:color w:val="auto"/>
                      <w:szCs w:val="21"/>
                      <w:highlight w:val="none"/>
                    </w:rPr>
                  </w:pPr>
                  <w:r>
                    <w:rPr>
                      <w:rFonts w:hint="eastAsia"/>
                      <w:color w:val="auto"/>
                      <w:szCs w:val="21"/>
                      <w:highlight w:val="none"/>
                    </w:rPr>
                    <w:t>抑制道路、施工、物料扬尘</w:t>
                  </w:r>
                </w:p>
              </w:tc>
              <w:tc>
                <w:tcPr>
                  <w:tcW w:w="752" w:type="dxa"/>
                  <w:vMerge w:val="continue"/>
                  <w:vAlign w:val="center"/>
                </w:tcPr>
                <w:p>
                  <w:pPr>
                    <w:snapToGrid w:val="0"/>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9" w:hRule="atLeast"/>
                <w:jc w:val="center"/>
              </w:trPr>
              <w:tc>
                <w:tcPr>
                  <w:tcW w:w="643" w:type="dxa"/>
                  <w:vMerge w:val="continue"/>
                  <w:vAlign w:val="center"/>
                </w:tcPr>
                <w:p>
                  <w:pPr>
                    <w:snapToGrid w:val="0"/>
                    <w:jc w:val="center"/>
                    <w:rPr>
                      <w:color w:val="auto"/>
                      <w:szCs w:val="21"/>
                      <w:highlight w:val="none"/>
                    </w:rPr>
                  </w:pPr>
                </w:p>
              </w:tc>
              <w:tc>
                <w:tcPr>
                  <w:tcW w:w="654" w:type="dxa"/>
                  <w:vAlign w:val="center"/>
                </w:tcPr>
                <w:p>
                  <w:pPr>
                    <w:widowControl/>
                    <w:jc w:val="center"/>
                    <w:rPr>
                      <w:color w:val="auto"/>
                      <w:szCs w:val="21"/>
                      <w:highlight w:val="none"/>
                    </w:rPr>
                  </w:pPr>
                  <w:r>
                    <w:rPr>
                      <w:rFonts w:hint="eastAsia" w:ascii="宋体" w:hAnsi="宋体" w:cs="宋体"/>
                      <w:color w:val="auto"/>
                      <w:kern w:val="0"/>
                      <w:szCs w:val="21"/>
                      <w:highlight w:val="none"/>
                    </w:rPr>
                    <w:t>营运期废气</w:t>
                  </w:r>
                </w:p>
              </w:tc>
              <w:tc>
                <w:tcPr>
                  <w:tcW w:w="968" w:type="dxa"/>
                  <w:vAlign w:val="center"/>
                </w:tcPr>
                <w:p>
                  <w:pPr>
                    <w:snapToGrid w:val="0"/>
                    <w:jc w:val="center"/>
                    <w:rPr>
                      <w:color w:val="auto"/>
                      <w:szCs w:val="21"/>
                      <w:highlight w:val="none"/>
                    </w:rPr>
                  </w:pPr>
                  <w:r>
                    <w:rPr>
                      <w:rFonts w:hint="eastAsia"/>
                      <w:color w:val="auto"/>
                      <w:szCs w:val="21"/>
                      <w:highlight w:val="none"/>
                    </w:rPr>
                    <w:t>汽车尾气</w:t>
                  </w:r>
                </w:p>
              </w:tc>
              <w:tc>
                <w:tcPr>
                  <w:tcW w:w="3281" w:type="dxa"/>
                  <w:vAlign w:val="center"/>
                </w:tcPr>
                <w:p>
                  <w:pPr>
                    <w:snapToGrid w:val="0"/>
                    <w:jc w:val="center"/>
                    <w:rPr>
                      <w:color w:val="auto"/>
                      <w:szCs w:val="21"/>
                      <w:highlight w:val="none"/>
                    </w:rPr>
                  </w:pPr>
                  <w:r>
                    <w:rPr>
                      <w:rFonts w:hint="eastAsia"/>
                      <w:color w:val="auto"/>
                      <w:szCs w:val="21"/>
                      <w:highlight w:val="none"/>
                    </w:rPr>
                    <w:t>保障道路畅通，缩短运输车辆怠速工况，减少汽车尾气排放总量。加强运输车辆管理，逐步实施尾气排放检查制度，限制尾气排放超标的运输车辆通行，控制汽车尾气排放总量。</w:t>
                  </w:r>
                </w:p>
              </w:tc>
              <w:tc>
                <w:tcPr>
                  <w:tcW w:w="1099" w:type="dxa"/>
                  <w:vMerge w:val="continue"/>
                  <w:vAlign w:val="center"/>
                </w:tcPr>
                <w:p>
                  <w:pPr>
                    <w:snapToGrid w:val="0"/>
                    <w:jc w:val="center"/>
                    <w:rPr>
                      <w:color w:val="auto"/>
                      <w:szCs w:val="21"/>
                      <w:highlight w:val="none"/>
                    </w:rPr>
                  </w:pPr>
                </w:p>
              </w:tc>
              <w:tc>
                <w:tcPr>
                  <w:tcW w:w="856" w:type="dxa"/>
                  <w:vAlign w:val="center"/>
                </w:tcPr>
                <w:p>
                  <w:pPr>
                    <w:snapToGrid w:val="0"/>
                    <w:jc w:val="center"/>
                    <w:rPr>
                      <w:color w:val="auto"/>
                      <w:szCs w:val="21"/>
                      <w:highlight w:val="none"/>
                    </w:rPr>
                  </w:pPr>
                  <w:r>
                    <w:rPr>
                      <w:rFonts w:hint="eastAsia"/>
                      <w:color w:val="auto"/>
                      <w:szCs w:val="21"/>
                      <w:highlight w:val="none"/>
                    </w:rPr>
                    <w:t>合理管理，减少汽车尾气排放</w:t>
                  </w:r>
                </w:p>
              </w:tc>
              <w:tc>
                <w:tcPr>
                  <w:tcW w:w="752" w:type="dxa"/>
                  <w:vMerge w:val="continue"/>
                  <w:vAlign w:val="center"/>
                </w:tcPr>
                <w:p>
                  <w:pPr>
                    <w:snapToGrid w:val="0"/>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1297" w:type="dxa"/>
                  <w:gridSpan w:val="2"/>
                  <w:vAlign w:val="center"/>
                </w:tcPr>
                <w:p>
                  <w:pPr>
                    <w:pStyle w:val="23"/>
                    <w:jc w:val="center"/>
                    <w:rPr>
                      <w:color w:val="auto"/>
                      <w:sz w:val="21"/>
                      <w:szCs w:val="21"/>
                      <w:highlight w:val="none"/>
                    </w:rPr>
                  </w:pPr>
                  <w:r>
                    <w:rPr>
                      <w:color w:val="auto"/>
                      <w:sz w:val="21"/>
                      <w:szCs w:val="21"/>
                      <w:highlight w:val="none"/>
                    </w:rPr>
                    <w:t>事故应急措施</w:t>
                  </w:r>
                </w:p>
              </w:tc>
              <w:tc>
                <w:tcPr>
                  <w:tcW w:w="968" w:type="dxa"/>
                  <w:vAlign w:val="center"/>
                </w:tcPr>
                <w:p>
                  <w:pPr>
                    <w:pStyle w:val="23"/>
                    <w:jc w:val="center"/>
                    <w:rPr>
                      <w:color w:val="auto"/>
                      <w:sz w:val="21"/>
                      <w:szCs w:val="21"/>
                      <w:highlight w:val="none"/>
                    </w:rPr>
                  </w:pPr>
                  <w:r>
                    <w:rPr>
                      <w:color w:val="auto"/>
                      <w:szCs w:val="21"/>
                      <w:highlight w:val="none"/>
                    </w:rPr>
                    <w:t>—</w:t>
                  </w:r>
                </w:p>
              </w:tc>
              <w:tc>
                <w:tcPr>
                  <w:tcW w:w="3281" w:type="dxa"/>
                  <w:vAlign w:val="center"/>
                </w:tcPr>
                <w:p>
                  <w:pPr>
                    <w:pStyle w:val="23"/>
                    <w:jc w:val="center"/>
                    <w:rPr>
                      <w:color w:val="auto"/>
                      <w:sz w:val="21"/>
                      <w:szCs w:val="21"/>
                      <w:highlight w:val="none"/>
                    </w:rPr>
                  </w:pPr>
                  <w:r>
                    <w:rPr>
                      <w:color w:val="auto"/>
                      <w:sz w:val="21"/>
                      <w:szCs w:val="21"/>
                      <w:highlight w:val="none"/>
                    </w:rPr>
                    <w:t>①严格管理。②加强施</w:t>
                  </w:r>
                  <w:r>
                    <w:rPr>
                      <w:color w:val="auto"/>
                      <w:kern w:val="2"/>
                      <w:sz w:val="21"/>
                      <w:szCs w:val="21"/>
                      <w:highlight w:val="none"/>
                    </w:rPr>
                    <w:t>工期间的管理、检查，确保施工质量。③水域施工时准备围油坎、吸油毡等应急物资，一旦发生事故，及时向有关部门反映，采取有效处理措施。</w:t>
                  </w:r>
                </w:p>
              </w:tc>
              <w:tc>
                <w:tcPr>
                  <w:tcW w:w="1099" w:type="dxa"/>
                  <w:vAlign w:val="center"/>
                </w:tcPr>
                <w:p>
                  <w:pPr>
                    <w:snapToGrid w:val="0"/>
                    <w:spacing w:line="360" w:lineRule="exact"/>
                    <w:jc w:val="center"/>
                    <w:rPr>
                      <w:rFonts w:hint="default" w:eastAsia="宋体"/>
                      <w:color w:val="auto"/>
                      <w:szCs w:val="21"/>
                      <w:highlight w:val="none"/>
                      <w:lang w:val="en-US" w:eastAsia="zh-CN"/>
                    </w:rPr>
                  </w:pPr>
                  <w:r>
                    <w:rPr>
                      <w:rFonts w:hint="eastAsia"/>
                      <w:color w:val="auto"/>
                      <w:szCs w:val="21"/>
                      <w:highlight w:val="none"/>
                    </w:rPr>
                    <w:t>1</w:t>
                  </w:r>
                  <w:r>
                    <w:rPr>
                      <w:rFonts w:hint="eastAsia"/>
                      <w:color w:val="auto"/>
                      <w:szCs w:val="21"/>
                      <w:highlight w:val="none"/>
                      <w:lang w:val="en-US" w:eastAsia="zh-CN"/>
                    </w:rPr>
                    <w:t>05</w:t>
                  </w:r>
                </w:p>
              </w:tc>
              <w:tc>
                <w:tcPr>
                  <w:tcW w:w="856" w:type="dxa"/>
                  <w:vAlign w:val="center"/>
                </w:tcPr>
                <w:p>
                  <w:pPr>
                    <w:snapToGrid w:val="0"/>
                    <w:jc w:val="center"/>
                    <w:rPr>
                      <w:color w:val="auto"/>
                      <w:szCs w:val="21"/>
                      <w:highlight w:val="none"/>
                    </w:rPr>
                  </w:pPr>
                  <w:r>
                    <w:rPr>
                      <w:color w:val="auto"/>
                      <w:szCs w:val="21"/>
                      <w:highlight w:val="none"/>
                    </w:rPr>
                    <w:t>—</w:t>
                  </w:r>
                </w:p>
              </w:tc>
              <w:tc>
                <w:tcPr>
                  <w:tcW w:w="752" w:type="dxa"/>
                  <w:vMerge w:val="continue"/>
                  <w:vAlign w:val="center"/>
                </w:tcPr>
                <w:p>
                  <w:pPr>
                    <w:snapToGrid w:val="0"/>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297" w:type="dxa"/>
                  <w:gridSpan w:val="2"/>
                  <w:vAlign w:val="center"/>
                </w:tcPr>
                <w:p>
                  <w:pPr>
                    <w:pStyle w:val="23"/>
                    <w:jc w:val="center"/>
                    <w:rPr>
                      <w:color w:val="auto"/>
                      <w:sz w:val="21"/>
                      <w:szCs w:val="21"/>
                      <w:highlight w:val="none"/>
                    </w:rPr>
                  </w:pPr>
                  <w:r>
                    <w:rPr>
                      <w:color w:val="auto"/>
                      <w:sz w:val="21"/>
                      <w:szCs w:val="21"/>
                      <w:highlight w:val="none"/>
                    </w:rPr>
                    <w:t>环境管理(机构、监测能力等)</w:t>
                  </w:r>
                </w:p>
              </w:tc>
              <w:tc>
                <w:tcPr>
                  <w:tcW w:w="968" w:type="dxa"/>
                  <w:vAlign w:val="center"/>
                </w:tcPr>
                <w:p>
                  <w:pPr>
                    <w:pStyle w:val="23"/>
                    <w:jc w:val="center"/>
                    <w:rPr>
                      <w:color w:val="auto"/>
                      <w:sz w:val="21"/>
                      <w:szCs w:val="21"/>
                      <w:highlight w:val="none"/>
                    </w:rPr>
                  </w:pPr>
                  <w:r>
                    <w:rPr>
                      <w:color w:val="auto"/>
                      <w:szCs w:val="21"/>
                      <w:highlight w:val="none"/>
                    </w:rPr>
                    <w:t>—</w:t>
                  </w:r>
                </w:p>
              </w:tc>
              <w:tc>
                <w:tcPr>
                  <w:tcW w:w="3281" w:type="dxa"/>
                  <w:vAlign w:val="center"/>
                </w:tcPr>
                <w:p>
                  <w:pPr>
                    <w:pStyle w:val="23"/>
                    <w:jc w:val="center"/>
                    <w:rPr>
                      <w:color w:val="auto"/>
                      <w:sz w:val="21"/>
                      <w:szCs w:val="21"/>
                      <w:highlight w:val="none"/>
                    </w:rPr>
                  </w:pPr>
                  <w:r>
                    <w:rPr>
                      <w:color w:val="auto"/>
                      <w:sz w:val="21"/>
                      <w:szCs w:val="21"/>
                      <w:highlight w:val="none"/>
                    </w:rPr>
                    <w:t>本项目业主在管道施工期间设置专人负责环境保护巡查工作，负责道路施工的环境管理、环境监测和环境事故应急处理等职责。</w:t>
                  </w:r>
                </w:p>
              </w:tc>
              <w:tc>
                <w:tcPr>
                  <w:tcW w:w="1099" w:type="dxa"/>
                  <w:vAlign w:val="center"/>
                </w:tcPr>
                <w:p>
                  <w:pPr>
                    <w:snapToGrid w:val="0"/>
                    <w:spacing w:line="360" w:lineRule="exact"/>
                    <w:jc w:val="center"/>
                    <w:rPr>
                      <w:rFonts w:hint="default" w:eastAsia="宋体"/>
                      <w:color w:val="auto"/>
                      <w:szCs w:val="21"/>
                      <w:highlight w:val="none"/>
                      <w:lang w:val="en-US" w:eastAsia="zh-CN"/>
                    </w:rPr>
                  </w:pPr>
                  <w:r>
                    <w:rPr>
                      <w:rFonts w:hint="eastAsia"/>
                      <w:color w:val="auto"/>
                      <w:szCs w:val="21"/>
                      <w:highlight w:val="none"/>
                    </w:rPr>
                    <w:t>1</w:t>
                  </w:r>
                  <w:r>
                    <w:rPr>
                      <w:rFonts w:hint="eastAsia"/>
                      <w:color w:val="auto"/>
                      <w:szCs w:val="21"/>
                      <w:highlight w:val="none"/>
                      <w:lang w:val="en-US" w:eastAsia="zh-CN"/>
                    </w:rPr>
                    <w:t>00</w:t>
                  </w:r>
                </w:p>
              </w:tc>
              <w:tc>
                <w:tcPr>
                  <w:tcW w:w="856" w:type="dxa"/>
                  <w:vAlign w:val="center"/>
                </w:tcPr>
                <w:p>
                  <w:pPr>
                    <w:snapToGrid w:val="0"/>
                    <w:jc w:val="center"/>
                    <w:rPr>
                      <w:color w:val="auto"/>
                      <w:szCs w:val="21"/>
                      <w:highlight w:val="none"/>
                    </w:rPr>
                  </w:pPr>
                  <w:r>
                    <w:rPr>
                      <w:color w:val="auto"/>
                      <w:szCs w:val="21"/>
                      <w:highlight w:val="none"/>
                    </w:rPr>
                    <w:t>—</w:t>
                  </w:r>
                </w:p>
              </w:tc>
              <w:tc>
                <w:tcPr>
                  <w:tcW w:w="752" w:type="dxa"/>
                  <w:vMerge w:val="continue"/>
                  <w:vAlign w:val="center"/>
                </w:tcPr>
                <w:p>
                  <w:pPr>
                    <w:snapToGrid w:val="0"/>
                    <w:jc w:val="center"/>
                    <w:rPr>
                      <w:color w:val="auto"/>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5546" w:type="dxa"/>
                  <w:gridSpan w:val="4"/>
                  <w:vAlign w:val="center"/>
                </w:tcPr>
                <w:p>
                  <w:pPr>
                    <w:jc w:val="center"/>
                    <w:rPr>
                      <w:color w:val="auto"/>
                      <w:szCs w:val="21"/>
                      <w:highlight w:val="none"/>
                    </w:rPr>
                  </w:pPr>
                  <w:r>
                    <w:rPr>
                      <w:color w:val="auto"/>
                      <w:szCs w:val="21"/>
                      <w:highlight w:val="none"/>
                    </w:rPr>
                    <w:t>合计</w:t>
                  </w:r>
                </w:p>
              </w:tc>
              <w:tc>
                <w:tcPr>
                  <w:tcW w:w="1099" w:type="dxa"/>
                  <w:vAlign w:val="center"/>
                </w:tcPr>
                <w:p>
                  <w:pPr>
                    <w:spacing w:line="360" w:lineRule="exact"/>
                    <w:jc w:val="center"/>
                    <w:rPr>
                      <w:color w:val="auto"/>
                      <w:szCs w:val="21"/>
                      <w:highlight w:val="none"/>
                    </w:rPr>
                  </w:pPr>
                  <w:r>
                    <w:rPr>
                      <w:rFonts w:hint="eastAsia"/>
                      <w:color w:val="auto"/>
                      <w:szCs w:val="21"/>
                      <w:highlight w:val="none"/>
                    </w:rPr>
                    <w:t>547</w:t>
                  </w:r>
                  <w:r>
                    <w:rPr>
                      <w:rFonts w:hint="eastAsia"/>
                      <w:color w:val="auto"/>
                      <w:szCs w:val="21"/>
                      <w:highlight w:val="none"/>
                      <w:lang w:val="en-US" w:eastAsia="zh-CN"/>
                    </w:rPr>
                    <w:t>.</w:t>
                  </w:r>
                  <w:r>
                    <w:rPr>
                      <w:rFonts w:hint="eastAsia"/>
                      <w:color w:val="auto"/>
                      <w:szCs w:val="21"/>
                      <w:highlight w:val="none"/>
                    </w:rPr>
                    <w:t>8</w:t>
                  </w:r>
                </w:p>
              </w:tc>
              <w:tc>
                <w:tcPr>
                  <w:tcW w:w="856" w:type="dxa"/>
                  <w:vAlign w:val="center"/>
                </w:tcPr>
                <w:p>
                  <w:pPr>
                    <w:ind w:leftChars="-3" w:hanging="6" w:hangingChars="3"/>
                    <w:jc w:val="center"/>
                    <w:rPr>
                      <w:color w:val="auto"/>
                      <w:szCs w:val="21"/>
                      <w:highlight w:val="none"/>
                    </w:rPr>
                  </w:pPr>
                  <w:r>
                    <w:rPr>
                      <w:color w:val="auto"/>
                      <w:szCs w:val="21"/>
                      <w:highlight w:val="none"/>
                    </w:rPr>
                    <w:t>—</w:t>
                  </w:r>
                </w:p>
              </w:tc>
              <w:tc>
                <w:tcPr>
                  <w:tcW w:w="752" w:type="dxa"/>
                  <w:vAlign w:val="center"/>
                </w:tcPr>
                <w:p>
                  <w:pPr>
                    <w:ind w:leftChars="-3" w:hanging="6" w:hangingChars="3"/>
                    <w:jc w:val="center"/>
                    <w:rPr>
                      <w:color w:val="auto"/>
                      <w:szCs w:val="21"/>
                      <w:highlight w:val="none"/>
                    </w:rPr>
                  </w:pPr>
                  <w:r>
                    <w:rPr>
                      <w:color w:val="auto"/>
                      <w:szCs w:val="21"/>
                      <w:highlight w:val="none"/>
                    </w:rPr>
                    <w:t>—</w:t>
                  </w:r>
                </w:p>
              </w:tc>
            </w:tr>
          </w:tbl>
          <w:p>
            <w:pPr>
              <w:adjustRightInd w:val="0"/>
              <w:snapToGrid w:val="0"/>
              <w:rPr>
                <w:bCs/>
                <w:color w:val="auto"/>
                <w:spacing w:val="10"/>
                <w:szCs w:val="21"/>
                <w:highlight w:val="none"/>
              </w:rPr>
            </w:pPr>
          </w:p>
        </w:tc>
      </w:tr>
    </w:tbl>
    <w:p>
      <w:pPr>
        <w:pStyle w:val="15"/>
        <w:jc w:val="center"/>
        <w:rPr>
          <w:rFonts w:ascii="黑体" w:hAnsi="黑体" w:eastAsia="黑体"/>
          <w:snapToGrid w:val="0"/>
          <w:color w:val="auto"/>
          <w:sz w:val="30"/>
          <w:szCs w:val="30"/>
          <w:highlight w:val="none"/>
        </w:rPr>
        <w:sectPr>
          <w:pgSz w:w="11906" w:h="16838"/>
          <w:pgMar w:top="1701" w:right="1531" w:bottom="1701" w:left="1531" w:header="851" w:footer="851" w:gutter="0"/>
          <w:cols w:space="720" w:num="1"/>
          <w:docGrid w:linePitch="312" w:charSpace="0"/>
        </w:sectPr>
      </w:pPr>
    </w:p>
    <w:p>
      <w:pPr>
        <w:pStyle w:val="15"/>
        <w:jc w:val="center"/>
        <w:outlineLvl w:val="0"/>
        <w:rPr>
          <w:rFonts w:ascii="黑体" w:hAnsi="黑体" w:eastAsia="黑体"/>
          <w:snapToGrid w:val="0"/>
          <w:color w:val="auto"/>
          <w:sz w:val="30"/>
          <w:szCs w:val="30"/>
          <w:highlight w:val="none"/>
        </w:rPr>
      </w:pPr>
      <w:bookmarkStart w:id="7" w:name="_Toc7878"/>
      <w:r>
        <w:rPr>
          <w:rFonts w:hint="eastAsia" w:ascii="黑体" w:hAnsi="黑体" w:eastAsia="黑体"/>
          <w:snapToGrid w:val="0"/>
          <w:color w:val="auto"/>
          <w:sz w:val="30"/>
          <w:szCs w:val="30"/>
          <w:highlight w:val="none"/>
        </w:rPr>
        <w:t>六、</w:t>
      </w:r>
      <w:r>
        <w:rPr>
          <w:rFonts w:ascii="Times New Roman" w:hAnsi="Times New Roman" w:eastAsia="黑体"/>
          <w:snapToGrid w:val="0"/>
          <w:color w:val="auto"/>
          <w:sz w:val="30"/>
          <w:szCs w:val="30"/>
          <w:highlight w:val="none"/>
        </w:rPr>
        <w:t>生态环境保护措施监督检查清单</w:t>
      </w:r>
      <w:bookmarkEnd w:id="7"/>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2"/>
        <w:gridCol w:w="2171"/>
        <w:gridCol w:w="2086"/>
        <w:gridCol w:w="1866"/>
        <w:gridCol w:w="21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restart"/>
            <w:tcBorders>
              <w:tl2br w:val="single" w:color="auto" w:sz="4" w:space="0"/>
            </w:tcBorders>
          </w:tcPr>
          <w:p>
            <w:pPr>
              <w:pStyle w:val="15"/>
              <w:adjustRightInd w:val="0"/>
              <w:snapToGrid w:val="0"/>
              <w:spacing w:beforeLines="30" w:beforeAutospacing="0" w:after="0" w:afterAutospacing="0"/>
              <w:jc w:val="center"/>
              <w:rPr>
                <w:rFonts w:ascii="Times New Roman" w:hAnsi="Times New Roman"/>
                <w:color w:val="auto"/>
                <w:kern w:val="2"/>
                <w:sz w:val="21"/>
                <w:szCs w:val="21"/>
                <w:highlight w:val="none"/>
              </w:rPr>
            </w:pPr>
            <w:r>
              <w:rPr>
                <w:rFonts w:hint="eastAsia" w:ascii="Times New Roman" w:hAnsi="Times New Roman"/>
                <w:color w:val="auto"/>
                <w:kern w:val="2"/>
                <w:sz w:val="21"/>
                <w:szCs w:val="21"/>
                <w:highlight w:val="none"/>
              </w:rPr>
              <w:t>内容</w:t>
            </w:r>
          </w:p>
          <w:p>
            <w:pPr>
              <w:pStyle w:val="15"/>
              <w:adjustRightInd w:val="0"/>
              <w:snapToGrid w:val="0"/>
              <w:spacing w:before="0" w:beforeAutospacing="0" w:after="0" w:afterAutospacing="0" w:line="14" w:lineRule="auto"/>
              <w:rPr>
                <w:rFonts w:ascii="Times New Roman" w:hAnsi="Times New Roman"/>
                <w:color w:val="auto"/>
                <w:kern w:val="2"/>
                <w:sz w:val="21"/>
                <w:szCs w:val="21"/>
                <w:highlight w:val="none"/>
              </w:rPr>
            </w:pPr>
          </w:p>
          <w:p>
            <w:pPr>
              <w:pStyle w:val="15"/>
              <w:adjustRightInd w:val="0"/>
              <w:snapToGrid w:val="0"/>
              <w:spacing w:before="0" w:beforeAutospacing="0" w:after="0" w:afterAutospacing="0"/>
              <w:rPr>
                <w:rFonts w:ascii="Times New Roman" w:hAnsi="Times New Roman"/>
                <w:color w:val="auto"/>
                <w:kern w:val="2"/>
                <w:sz w:val="21"/>
                <w:szCs w:val="21"/>
                <w:highlight w:val="none"/>
              </w:rPr>
            </w:pPr>
            <w:r>
              <w:rPr>
                <w:rFonts w:hint="eastAsia" w:ascii="Times New Roman" w:hAnsi="Times New Roman"/>
                <w:color w:val="auto"/>
                <w:kern w:val="2"/>
                <w:sz w:val="21"/>
                <w:szCs w:val="21"/>
                <w:highlight w:val="none"/>
              </w:rPr>
              <w:t>要素</w:t>
            </w:r>
          </w:p>
        </w:tc>
        <w:tc>
          <w:tcPr>
            <w:tcW w:w="2349" w:type="pct"/>
            <w:gridSpan w:val="2"/>
            <w:vAlign w:val="center"/>
          </w:tcPr>
          <w:p>
            <w:pPr>
              <w:pStyle w:val="15"/>
              <w:adjustRightInd w:val="0"/>
              <w:snapToGrid w:val="0"/>
              <w:spacing w:before="0" w:beforeAutospacing="0" w:after="0" w:afterAutospacing="0"/>
              <w:jc w:val="center"/>
              <w:rPr>
                <w:rFonts w:ascii="Times New Roman" w:hAnsi="Times New Roman"/>
                <w:color w:val="auto"/>
                <w:kern w:val="2"/>
                <w:sz w:val="21"/>
                <w:szCs w:val="21"/>
                <w:highlight w:val="none"/>
              </w:rPr>
            </w:pPr>
            <w:r>
              <w:rPr>
                <w:rFonts w:hint="eastAsia" w:ascii="Times New Roman" w:hAnsi="Times New Roman"/>
                <w:color w:val="auto"/>
                <w:kern w:val="2"/>
                <w:sz w:val="21"/>
                <w:szCs w:val="21"/>
                <w:highlight w:val="none"/>
              </w:rPr>
              <w:t>施工期</w:t>
            </w:r>
          </w:p>
        </w:tc>
        <w:tc>
          <w:tcPr>
            <w:tcW w:w="2208" w:type="pct"/>
            <w:gridSpan w:val="2"/>
            <w:vAlign w:val="center"/>
          </w:tcPr>
          <w:p>
            <w:pPr>
              <w:pStyle w:val="15"/>
              <w:adjustRightInd w:val="0"/>
              <w:snapToGrid w:val="0"/>
              <w:spacing w:before="0" w:beforeAutospacing="0" w:after="0" w:afterAutospacing="0"/>
              <w:jc w:val="center"/>
              <w:rPr>
                <w:rFonts w:ascii="Times New Roman" w:hAnsi="Times New Roman"/>
                <w:color w:val="auto"/>
                <w:kern w:val="2"/>
                <w:sz w:val="21"/>
                <w:szCs w:val="21"/>
                <w:highlight w:val="none"/>
              </w:rPr>
            </w:pPr>
            <w:r>
              <w:rPr>
                <w:rFonts w:hint="eastAsia" w:ascii="Times New Roman" w:hAnsi="Times New Roman"/>
                <w:color w:val="auto"/>
                <w:kern w:val="2"/>
                <w:sz w:val="21"/>
                <w:szCs w:val="21"/>
                <w:highlight w:val="none"/>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vMerge w:val="continue"/>
          </w:tcPr>
          <w:p>
            <w:pPr>
              <w:pStyle w:val="15"/>
              <w:adjustRightInd w:val="0"/>
              <w:snapToGrid w:val="0"/>
              <w:spacing w:before="0" w:beforeAutospacing="0" w:after="0" w:afterAutospacing="0"/>
              <w:ind w:firstLine="840"/>
              <w:jc w:val="center"/>
              <w:rPr>
                <w:rFonts w:ascii="Times New Roman" w:hAnsi="Times New Roman"/>
                <w:color w:val="auto"/>
                <w:kern w:val="2"/>
                <w:sz w:val="21"/>
                <w:szCs w:val="21"/>
                <w:highlight w:val="none"/>
              </w:rPr>
            </w:pPr>
          </w:p>
        </w:tc>
        <w:tc>
          <w:tcPr>
            <w:tcW w:w="1198" w:type="pct"/>
            <w:vAlign w:val="center"/>
          </w:tcPr>
          <w:p>
            <w:pPr>
              <w:pStyle w:val="15"/>
              <w:adjustRightInd w:val="0"/>
              <w:snapToGrid w:val="0"/>
              <w:spacing w:before="0" w:beforeAutospacing="0" w:after="0" w:afterAutospacing="0"/>
              <w:jc w:val="center"/>
              <w:rPr>
                <w:rFonts w:ascii="Times New Roman" w:hAnsi="Times New Roman"/>
                <w:color w:val="auto"/>
                <w:kern w:val="2"/>
                <w:sz w:val="21"/>
                <w:szCs w:val="21"/>
                <w:highlight w:val="none"/>
              </w:rPr>
            </w:pPr>
            <w:r>
              <w:rPr>
                <w:rFonts w:hint="eastAsia" w:ascii="Times New Roman" w:hAnsi="Times New Roman"/>
                <w:color w:val="auto"/>
                <w:kern w:val="2"/>
                <w:sz w:val="21"/>
                <w:szCs w:val="21"/>
                <w:highlight w:val="none"/>
              </w:rPr>
              <w:t>环境保护措施</w:t>
            </w:r>
          </w:p>
        </w:tc>
        <w:tc>
          <w:tcPr>
            <w:tcW w:w="1151" w:type="pct"/>
            <w:vAlign w:val="center"/>
          </w:tcPr>
          <w:p>
            <w:pPr>
              <w:pStyle w:val="15"/>
              <w:adjustRightInd w:val="0"/>
              <w:snapToGrid w:val="0"/>
              <w:spacing w:before="0" w:beforeAutospacing="0" w:after="0" w:afterAutospacing="0"/>
              <w:jc w:val="center"/>
              <w:rPr>
                <w:rFonts w:ascii="Times New Roman" w:hAnsi="Times New Roman"/>
                <w:color w:val="auto"/>
                <w:kern w:val="2"/>
                <w:sz w:val="21"/>
                <w:szCs w:val="21"/>
                <w:highlight w:val="none"/>
              </w:rPr>
            </w:pPr>
            <w:r>
              <w:rPr>
                <w:rFonts w:hint="eastAsia" w:ascii="Times New Roman" w:hAnsi="Times New Roman"/>
                <w:color w:val="auto"/>
                <w:kern w:val="2"/>
                <w:sz w:val="21"/>
                <w:szCs w:val="21"/>
                <w:highlight w:val="none"/>
              </w:rPr>
              <w:t>验收要求</w:t>
            </w:r>
          </w:p>
        </w:tc>
        <w:tc>
          <w:tcPr>
            <w:tcW w:w="1030" w:type="pct"/>
            <w:vAlign w:val="center"/>
          </w:tcPr>
          <w:p>
            <w:pPr>
              <w:pStyle w:val="15"/>
              <w:adjustRightInd w:val="0"/>
              <w:snapToGrid w:val="0"/>
              <w:spacing w:before="0" w:beforeAutospacing="0" w:after="0" w:afterAutospacing="0"/>
              <w:jc w:val="center"/>
              <w:rPr>
                <w:rFonts w:ascii="Times New Roman" w:hAnsi="Times New Roman"/>
                <w:color w:val="auto"/>
                <w:kern w:val="2"/>
                <w:sz w:val="21"/>
                <w:szCs w:val="21"/>
                <w:highlight w:val="none"/>
              </w:rPr>
            </w:pPr>
            <w:r>
              <w:rPr>
                <w:rFonts w:hint="eastAsia" w:ascii="Times New Roman" w:hAnsi="Times New Roman"/>
                <w:color w:val="auto"/>
                <w:kern w:val="2"/>
                <w:sz w:val="21"/>
                <w:szCs w:val="21"/>
                <w:highlight w:val="none"/>
              </w:rPr>
              <w:t>环境保护措施</w:t>
            </w:r>
          </w:p>
        </w:tc>
        <w:tc>
          <w:tcPr>
            <w:tcW w:w="1177" w:type="pct"/>
            <w:vAlign w:val="center"/>
          </w:tcPr>
          <w:p>
            <w:pPr>
              <w:pStyle w:val="15"/>
              <w:adjustRightInd w:val="0"/>
              <w:snapToGrid w:val="0"/>
              <w:spacing w:before="0" w:beforeAutospacing="0" w:after="0" w:afterAutospacing="0"/>
              <w:jc w:val="center"/>
              <w:rPr>
                <w:rFonts w:ascii="Times New Roman" w:hAnsi="Times New Roman"/>
                <w:color w:val="auto"/>
                <w:kern w:val="2"/>
                <w:sz w:val="21"/>
                <w:szCs w:val="21"/>
                <w:highlight w:val="none"/>
              </w:rPr>
            </w:pPr>
            <w:r>
              <w:rPr>
                <w:rFonts w:hint="eastAsia" w:ascii="Times New Roman" w:hAnsi="Times New Roman"/>
                <w:color w:val="auto"/>
                <w:kern w:val="2"/>
                <w:sz w:val="21"/>
                <w:szCs w:val="21"/>
                <w:highlight w:val="none"/>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2" w:type="pct"/>
            <w:vAlign w:val="center"/>
          </w:tcPr>
          <w:p>
            <w:pPr>
              <w:adjustRightInd w:val="0"/>
              <w:snapToGrid w:val="0"/>
              <w:jc w:val="center"/>
              <w:rPr>
                <w:color w:val="auto"/>
                <w:szCs w:val="21"/>
                <w:highlight w:val="none"/>
              </w:rPr>
            </w:pPr>
            <w:r>
              <w:rPr>
                <w:rFonts w:hint="eastAsia"/>
                <w:color w:val="auto"/>
                <w:szCs w:val="21"/>
                <w:highlight w:val="none"/>
              </w:rPr>
              <w:t>陆生</w:t>
            </w:r>
          </w:p>
          <w:p>
            <w:pPr>
              <w:adjustRightInd w:val="0"/>
              <w:snapToGrid w:val="0"/>
              <w:jc w:val="center"/>
              <w:rPr>
                <w:color w:val="auto"/>
                <w:szCs w:val="21"/>
                <w:highlight w:val="none"/>
              </w:rPr>
            </w:pPr>
            <w:r>
              <w:rPr>
                <w:rFonts w:hint="eastAsia"/>
                <w:color w:val="auto"/>
                <w:szCs w:val="21"/>
                <w:highlight w:val="none"/>
              </w:rPr>
              <w:t>生态</w:t>
            </w:r>
          </w:p>
        </w:tc>
        <w:tc>
          <w:tcPr>
            <w:tcW w:w="1198" w:type="pct"/>
            <w:vAlign w:val="center"/>
          </w:tcPr>
          <w:p>
            <w:pPr>
              <w:adjustRightInd w:val="0"/>
              <w:snapToGrid w:val="0"/>
              <w:jc w:val="center"/>
              <w:rPr>
                <w:color w:val="auto"/>
                <w:szCs w:val="21"/>
                <w:highlight w:val="none"/>
              </w:rPr>
            </w:pPr>
            <w:r>
              <w:rPr>
                <w:rFonts w:hint="eastAsia"/>
                <w:color w:val="auto"/>
                <w:szCs w:val="21"/>
                <w:highlight w:val="none"/>
              </w:rPr>
              <w:t>植被与景观恢复</w:t>
            </w:r>
          </w:p>
        </w:tc>
        <w:tc>
          <w:tcPr>
            <w:tcW w:w="1151" w:type="pct"/>
            <w:vAlign w:val="center"/>
          </w:tcPr>
          <w:p>
            <w:pPr>
              <w:adjustRightInd w:val="0"/>
              <w:snapToGrid w:val="0"/>
              <w:jc w:val="center"/>
              <w:rPr>
                <w:color w:val="auto"/>
                <w:szCs w:val="21"/>
                <w:highlight w:val="none"/>
              </w:rPr>
            </w:pPr>
            <w:r>
              <w:rPr>
                <w:rFonts w:hint="eastAsia"/>
                <w:color w:val="auto"/>
                <w:szCs w:val="21"/>
                <w:highlight w:val="none"/>
              </w:rPr>
              <w:t>植被与景观恢复</w:t>
            </w:r>
          </w:p>
        </w:tc>
        <w:tc>
          <w:tcPr>
            <w:tcW w:w="1030" w:type="pct"/>
            <w:vAlign w:val="center"/>
          </w:tcPr>
          <w:p>
            <w:pPr>
              <w:adjustRightInd w:val="0"/>
              <w:snapToGrid w:val="0"/>
              <w:jc w:val="center"/>
              <w:rPr>
                <w:color w:val="auto"/>
                <w:szCs w:val="21"/>
                <w:highlight w:val="none"/>
              </w:rPr>
            </w:pPr>
            <w:r>
              <w:rPr>
                <w:rFonts w:hint="eastAsia"/>
                <w:color w:val="auto"/>
                <w:szCs w:val="21"/>
                <w:highlight w:val="none"/>
              </w:rPr>
              <w:t>/</w:t>
            </w:r>
          </w:p>
        </w:tc>
        <w:tc>
          <w:tcPr>
            <w:tcW w:w="1177" w:type="pct"/>
            <w:vAlign w:val="center"/>
          </w:tcPr>
          <w:p>
            <w:pPr>
              <w:adjustRightInd w:val="0"/>
              <w:snapToGrid w:val="0"/>
              <w:jc w:val="center"/>
              <w:rPr>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2" w:type="pct"/>
            <w:vAlign w:val="center"/>
          </w:tcPr>
          <w:p>
            <w:pPr>
              <w:adjustRightInd w:val="0"/>
              <w:snapToGrid w:val="0"/>
              <w:jc w:val="center"/>
              <w:rPr>
                <w:color w:val="auto"/>
                <w:szCs w:val="21"/>
                <w:highlight w:val="none"/>
              </w:rPr>
            </w:pPr>
            <w:r>
              <w:rPr>
                <w:color w:val="auto"/>
                <w:szCs w:val="21"/>
                <w:highlight w:val="none"/>
              </w:rPr>
              <w:t>水生</w:t>
            </w:r>
          </w:p>
          <w:p>
            <w:pPr>
              <w:adjustRightInd w:val="0"/>
              <w:snapToGrid w:val="0"/>
              <w:jc w:val="center"/>
              <w:rPr>
                <w:color w:val="auto"/>
                <w:szCs w:val="21"/>
                <w:highlight w:val="none"/>
              </w:rPr>
            </w:pPr>
            <w:r>
              <w:rPr>
                <w:color w:val="auto"/>
                <w:szCs w:val="21"/>
                <w:highlight w:val="none"/>
              </w:rPr>
              <w:t>生态</w:t>
            </w:r>
          </w:p>
        </w:tc>
        <w:tc>
          <w:tcPr>
            <w:tcW w:w="2171" w:type="dxa"/>
            <w:vAlign w:val="center"/>
          </w:tcPr>
          <w:p>
            <w:pPr>
              <w:adjustRightInd w:val="0"/>
              <w:snapToGrid w:val="0"/>
              <w:jc w:val="center"/>
              <w:rPr>
                <w:color w:val="auto"/>
                <w:szCs w:val="21"/>
                <w:highlight w:val="none"/>
              </w:rPr>
            </w:pPr>
            <w:r>
              <w:rPr>
                <w:rFonts w:hint="eastAsia"/>
                <w:color w:val="auto"/>
                <w:szCs w:val="21"/>
                <w:highlight w:val="none"/>
              </w:rPr>
              <w:t>指定工作区域内进行，施工废水收集沉淀后排放至市政管网</w:t>
            </w:r>
          </w:p>
        </w:tc>
        <w:tc>
          <w:tcPr>
            <w:tcW w:w="2086" w:type="dxa"/>
            <w:vAlign w:val="center"/>
          </w:tcPr>
          <w:p>
            <w:pPr>
              <w:adjustRightInd w:val="0"/>
              <w:snapToGrid w:val="0"/>
              <w:jc w:val="center"/>
              <w:rPr>
                <w:color w:val="auto"/>
                <w:szCs w:val="21"/>
                <w:highlight w:val="none"/>
              </w:rPr>
            </w:pPr>
            <w:r>
              <w:rPr>
                <w:rFonts w:hint="eastAsia"/>
                <w:color w:val="auto"/>
                <w:szCs w:val="21"/>
                <w:highlight w:val="none"/>
              </w:rPr>
              <w:t>施</w:t>
            </w:r>
            <w:r>
              <w:rPr>
                <w:rFonts w:hint="eastAsia" w:ascii="Times New Roman" w:hAnsi="Times New Roman" w:eastAsia="宋体" w:cs="Times New Roman"/>
                <w:color w:val="auto"/>
                <w:szCs w:val="21"/>
                <w:highlight w:val="none"/>
              </w:rPr>
              <w:t>工废水收集沉淀后回用于施工场地洒水降尘</w:t>
            </w:r>
          </w:p>
        </w:tc>
        <w:tc>
          <w:tcPr>
            <w:tcW w:w="1030" w:type="pct"/>
            <w:vAlign w:val="center"/>
          </w:tcPr>
          <w:p>
            <w:pPr>
              <w:adjustRightInd w:val="0"/>
              <w:snapToGrid w:val="0"/>
              <w:jc w:val="center"/>
              <w:rPr>
                <w:color w:val="auto"/>
                <w:szCs w:val="21"/>
                <w:highlight w:val="none"/>
              </w:rPr>
            </w:pPr>
            <w:r>
              <w:rPr>
                <w:rFonts w:hint="eastAsia"/>
                <w:color w:val="auto"/>
                <w:szCs w:val="21"/>
                <w:highlight w:val="none"/>
              </w:rPr>
              <w:t>/</w:t>
            </w:r>
          </w:p>
        </w:tc>
        <w:tc>
          <w:tcPr>
            <w:tcW w:w="1177" w:type="pct"/>
            <w:vAlign w:val="center"/>
          </w:tcPr>
          <w:p>
            <w:pPr>
              <w:adjustRightInd w:val="0"/>
              <w:snapToGrid w:val="0"/>
              <w:jc w:val="center"/>
              <w:rPr>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2" w:type="pct"/>
            <w:vAlign w:val="center"/>
          </w:tcPr>
          <w:p>
            <w:pPr>
              <w:adjustRightInd w:val="0"/>
              <w:snapToGrid w:val="0"/>
              <w:jc w:val="center"/>
              <w:rPr>
                <w:color w:val="auto"/>
                <w:szCs w:val="21"/>
                <w:highlight w:val="none"/>
              </w:rPr>
            </w:pPr>
            <w:r>
              <w:rPr>
                <w:color w:val="auto"/>
                <w:szCs w:val="21"/>
                <w:highlight w:val="none"/>
              </w:rPr>
              <w:t>地表水环境</w:t>
            </w:r>
          </w:p>
        </w:tc>
        <w:tc>
          <w:tcPr>
            <w:tcW w:w="2171" w:type="dxa"/>
            <w:vAlign w:val="center"/>
          </w:tcPr>
          <w:p>
            <w:pPr>
              <w:adjustRightInd w:val="0"/>
              <w:snapToGrid w:val="0"/>
              <w:jc w:val="center"/>
              <w:rPr>
                <w:color w:val="auto"/>
                <w:szCs w:val="21"/>
                <w:highlight w:val="none"/>
              </w:rPr>
            </w:pPr>
            <w:r>
              <w:rPr>
                <w:rFonts w:hint="eastAsia"/>
                <w:color w:val="auto"/>
                <w:szCs w:val="21"/>
                <w:highlight w:val="none"/>
              </w:rPr>
              <w:t>生活污水利用周边区域配套的卫生设施网收集至污水处理厂处理；施工废水收集沉淀后排放至市政管网</w:t>
            </w:r>
          </w:p>
        </w:tc>
        <w:tc>
          <w:tcPr>
            <w:tcW w:w="2086" w:type="dxa"/>
            <w:vAlign w:val="center"/>
          </w:tcPr>
          <w:p>
            <w:pPr>
              <w:adjustRightInd w:val="0"/>
              <w:snapToGrid w:val="0"/>
              <w:jc w:val="center"/>
              <w:rPr>
                <w:color w:val="auto"/>
                <w:szCs w:val="21"/>
                <w:highlight w:val="none"/>
              </w:rPr>
            </w:pPr>
            <w:r>
              <w:rPr>
                <w:rFonts w:hint="eastAsia"/>
                <w:color w:val="auto"/>
                <w:szCs w:val="21"/>
                <w:highlight w:val="none"/>
              </w:rPr>
              <w:t>施工废水</w:t>
            </w:r>
            <w:r>
              <w:rPr>
                <w:rFonts w:hint="eastAsia" w:ascii="Times New Roman" w:hAnsi="Times New Roman" w:eastAsia="宋体" w:cs="Times New Roman"/>
                <w:color w:val="auto"/>
                <w:szCs w:val="21"/>
                <w:highlight w:val="none"/>
              </w:rPr>
              <w:t>收集沉淀后回用于施工场地洒水降尘</w:t>
            </w:r>
          </w:p>
        </w:tc>
        <w:tc>
          <w:tcPr>
            <w:tcW w:w="1030" w:type="pct"/>
            <w:vAlign w:val="center"/>
          </w:tcPr>
          <w:p>
            <w:pPr>
              <w:adjustRightInd w:val="0"/>
              <w:snapToGrid w:val="0"/>
              <w:jc w:val="center"/>
              <w:rPr>
                <w:color w:val="auto"/>
                <w:szCs w:val="21"/>
                <w:highlight w:val="none"/>
              </w:rPr>
            </w:pPr>
            <w:r>
              <w:rPr>
                <w:rFonts w:hint="eastAsia"/>
                <w:color w:val="auto"/>
                <w:szCs w:val="21"/>
                <w:highlight w:val="none"/>
              </w:rPr>
              <w:t>雨水收集系统至市政雨水管网</w:t>
            </w:r>
          </w:p>
        </w:tc>
        <w:tc>
          <w:tcPr>
            <w:tcW w:w="1177" w:type="pct"/>
            <w:vAlign w:val="center"/>
          </w:tcPr>
          <w:p>
            <w:pPr>
              <w:adjustRightInd w:val="0"/>
              <w:snapToGrid w:val="0"/>
              <w:jc w:val="center"/>
              <w:rPr>
                <w:color w:val="auto"/>
                <w:szCs w:val="21"/>
                <w:highlight w:val="none"/>
              </w:rPr>
            </w:pPr>
            <w:r>
              <w:rPr>
                <w:rFonts w:hint="eastAsia"/>
                <w:color w:val="auto"/>
                <w:szCs w:val="21"/>
                <w:highlight w:val="none"/>
              </w:rPr>
              <w:t>有雨水收集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2" w:type="pct"/>
            <w:vAlign w:val="center"/>
          </w:tcPr>
          <w:p>
            <w:pPr>
              <w:adjustRightInd w:val="0"/>
              <w:snapToGrid w:val="0"/>
              <w:jc w:val="center"/>
              <w:rPr>
                <w:color w:val="auto"/>
                <w:szCs w:val="21"/>
                <w:highlight w:val="none"/>
              </w:rPr>
            </w:pPr>
            <w:r>
              <w:rPr>
                <w:color w:val="auto"/>
                <w:szCs w:val="21"/>
                <w:highlight w:val="none"/>
              </w:rPr>
              <w:t>地下水及土壤环境</w:t>
            </w:r>
          </w:p>
        </w:tc>
        <w:tc>
          <w:tcPr>
            <w:tcW w:w="1198" w:type="pct"/>
            <w:vAlign w:val="center"/>
          </w:tcPr>
          <w:p>
            <w:pPr>
              <w:adjustRightInd w:val="0"/>
              <w:snapToGrid w:val="0"/>
              <w:jc w:val="center"/>
              <w:rPr>
                <w:color w:val="auto"/>
                <w:szCs w:val="21"/>
                <w:highlight w:val="none"/>
              </w:rPr>
            </w:pPr>
            <w:r>
              <w:rPr>
                <w:rFonts w:hint="eastAsia"/>
                <w:color w:val="auto"/>
                <w:szCs w:val="21"/>
                <w:highlight w:val="none"/>
              </w:rPr>
              <w:t>作业规定在道路红线内进行</w:t>
            </w:r>
          </w:p>
        </w:tc>
        <w:tc>
          <w:tcPr>
            <w:tcW w:w="1151" w:type="pct"/>
            <w:vAlign w:val="center"/>
          </w:tcPr>
          <w:p>
            <w:pPr>
              <w:adjustRightInd w:val="0"/>
              <w:snapToGrid w:val="0"/>
              <w:jc w:val="center"/>
              <w:rPr>
                <w:color w:val="auto"/>
                <w:szCs w:val="21"/>
                <w:highlight w:val="none"/>
              </w:rPr>
            </w:pPr>
            <w:r>
              <w:rPr>
                <w:rFonts w:hint="eastAsia"/>
                <w:color w:val="auto"/>
                <w:szCs w:val="21"/>
                <w:highlight w:val="none"/>
              </w:rPr>
              <w:t>/</w:t>
            </w:r>
          </w:p>
        </w:tc>
        <w:tc>
          <w:tcPr>
            <w:tcW w:w="1030" w:type="pct"/>
            <w:vAlign w:val="center"/>
          </w:tcPr>
          <w:p>
            <w:pPr>
              <w:adjustRightInd w:val="0"/>
              <w:snapToGrid w:val="0"/>
              <w:jc w:val="center"/>
              <w:rPr>
                <w:color w:val="auto"/>
                <w:szCs w:val="21"/>
                <w:highlight w:val="none"/>
              </w:rPr>
            </w:pPr>
            <w:r>
              <w:rPr>
                <w:rFonts w:hint="eastAsia"/>
                <w:color w:val="auto"/>
                <w:szCs w:val="21"/>
                <w:highlight w:val="none"/>
              </w:rPr>
              <w:t>沥青路面等</w:t>
            </w:r>
          </w:p>
        </w:tc>
        <w:tc>
          <w:tcPr>
            <w:tcW w:w="1177" w:type="pct"/>
            <w:vAlign w:val="center"/>
          </w:tcPr>
          <w:p>
            <w:pPr>
              <w:adjustRightInd w:val="0"/>
              <w:snapToGrid w:val="0"/>
              <w:jc w:val="center"/>
              <w:rPr>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2" w:type="pct"/>
            <w:vAlign w:val="center"/>
          </w:tcPr>
          <w:p>
            <w:pPr>
              <w:adjustRightInd w:val="0"/>
              <w:snapToGrid w:val="0"/>
              <w:jc w:val="center"/>
              <w:rPr>
                <w:color w:val="auto"/>
                <w:szCs w:val="21"/>
                <w:highlight w:val="none"/>
              </w:rPr>
            </w:pPr>
            <w:r>
              <w:rPr>
                <w:color w:val="auto"/>
                <w:szCs w:val="21"/>
                <w:highlight w:val="none"/>
              </w:rPr>
              <w:t>声环境</w:t>
            </w:r>
          </w:p>
        </w:tc>
        <w:tc>
          <w:tcPr>
            <w:tcW w:w="1198" w:type="pct"/>
            <w:vAlign w:val="center"/>
          </w:tcPr>
          <w:p>
            <w:pPr>
              <w:adjustRightInd w:val="0"/>
              <w:snapToGrid w:val="0"/>
              <w:jc w:val="center"/>
              <w:rPr>
                <w:color w:val="auto"/>
                <w:szCs w:val="21"/>
                <w:highlight w:val="none"/>
              </w:rPr>
            </w:pPr>
            <w:r>
              <w:rPr>
                <w:rFonts w:hint="eastAsia"/>
                <w:color w:val="auto"/>
                <w:szCs w:val="21"/>
                <w:highlight w:val="none"/>
              </w:rPr>
              <w:t>低噪路面设计，选用低噪声机械和施工方式，加强施工设备的维护保养。对高噪声设备采取隔声、隔振或消声措施、在声源周围设置掩蔽物、加隔振垫、安装消声器等。夜间禁止施工。</w:t>
            </w:r>
          </w:p>
        </w:tc>
        <w:tc>
          <w:tcPr>
            <w:tcW w:w="1151" w:type="pct"/>
            <w:vAlign w:val="center"/>
          </w:tcPr>
          <w:p>
            <w:pPr>
              <w:adjustRightInd w:val="0"/>
              <w:snapToGrid w:val="0"/>
              <w:jc w:val="center"/>
              <w:rPr>
                <w:color w:val="auto"/>
                <w:szCs w:val="21"/>
                <w:highlight w:val="none"/>
              </w:rPr>
            </w:pPr>
            <w:r>
              <w:rPr>
                <w:rFonts w:hint="eastAsia"/>
                <w:color w:val="auto"/>
                <w:szCs w:val="21"/>
                <w:highlight w:val="none"/>
              </w:rPr>
              <w:t>施工期未接到投诉；</w:t>
            </w:r>
          </w:p>
          <w:p>
            <w:pPr>
              <w:adjustRightInd w:val="0"/>
              <w:snapToGrid w:val="0"/>
              <w:jc w:val="center"/>
              <w:rPr>
                <w:color w:val="auto"/>
                <w:szCs w:val="21"/>
                <w:highlight w:val="none"/>
              </w:rPr>
            </w:pPr>
            <w:r>
              <w:rPr>
                <w:rFonts w:hint="eastAsia"/>
                <w:color w:val="auto"/>
                <w:szCs w:val="21"/>
                <w:highlight w:val="none"/>
              </w:rPr>
              <w:t>《建筑施工场界环境噪声排放标准》</w:t>
            </w:r>
          </w:p>
          <w:p>
            <w:pPr>
              <w:adjustRightInd w:val="0"/>
              <w:snapToGrid w:val="0"/>
              <w:jc w:val="center"/>
              <w:rPr>
                <w:color w:val="auto"/>
                <w:szCs w:val="21"/>
                <w:highlight w:val="none"/>
              </w:rPr>
            </w:pPr>
            <w:r>
              <w:rPr>
                <w:rFonts w:hint="eastAsia"/>
                <w:color w:val="auto"/>
                <w:szCs w:val="21"/>
                <w:highlight w:val="none"/>
              </w:rPr>
              <w:t>（GB12523-2011）</w:t>
            </w:r>
          </w:p>
        </w:tc>
        <w:tc>
          <w:tcPr>
            <w:tcW w:w="1030" w:type="pct"/>
            <w:vAlign w:val="center"/>
          </w:tcPr>
          <w:p>
            <w:pPr>
              <w:adjustRightInd w:val="0"/>
              <w:snapToGrid w:val="0"/>
              <w:jc w:val="center"/>
              <w:rPr>
                <w:color w:val="auto"/>
                <w:szCs w:val="21"/>
                <w:highlight w:val="none"/>
              </w:rPr>
            </w:pPr>
            <w:r>
              <w:rPr>
                <w:color w:val="auto"/>
                <w:szCs w:val="21"/>
                <w:highlight w:val="none"/>
              </w:rPr>
              <w:t>设立禁鸣标志等</w:t>
            </w:r>
            <w:r>
              <w:rPr>
                <w:rFonts w:hint="eastAsia" w:ascii="宋体" w:hAnsi="宋体" w:cs="宋体"/>
                <w:color w:val="auto"/>
                <w:kern w:val="0"/>
                <w:szCs w:val="21"/>
                <w:highlight w:val="none"/>
              </w:rPr>
              <w:t>交通管制</w:t>
            </w:r>
            <w:r>
              <w:rPr>
                <w:color w:val="auto"/>
                <w:szCs w:val="21"/>
                <w:highlight w:val="none"/>
              </w:rPr>
              <w:t>措施，</w:t>
            </w:r>
            <w:r>
              <w:rPr>
                <w:rFonts w:hint="eastAsia"/>
                <w:color w:val="auto"/>
                <w:szCs w:val="21"/>
                <w:highlight w:val="none"/>
              </w:rPr>
              <w:t>道路周围种植绿化；</w:t>
            </w:r>
          </w:p>
          <w:p>
            <w:pPr>
              <w:adjustRightInd w:val="0"/>
              <w:snapToGrid w:val="0"/>
              <w:jc w:val="center"/>
              <w:rPr>
                <w:color w:val="auto"/>
                <w:szCs w:val="21"/>
                <w:highlight w:val="none"/>
              </w:rPr>
            </w:pPr>
            <w:r>
              <w:rPr>
                <w:rFonts w:hint="eastAsia"/>
                <w:color w:val="auto"/>
                <w:szCs w:val="21"/>
                <w:highlight w:val="none"/>
              </w:rPr>
              <w:t>跟踪监测</w:t>
            </w:r>
          </w:p>
        </w:tc>
        <w:tc>
          <w:tcPr>
            <w:tcW w:w="1177" w:type="pct"/>
            <w:vAlign w:val="center"/>
          </w:tcPr>
          <w:p>
            <w:pPr>
              <w:adjustRightInd w:val="0"/>
              <w:snapToGrid w:val="0"/>
              <w:jc w:val="center"/>
              <w:rPr>
                <w:color w:val="auto"/>
                <w:szCs w:val="21"/>
                <w:highlight w:val="none"/>
              </w:rPr>
            </w:pPr>
            <w:r>
              <w:rPr>
                <w:rFonts w:hint="eastAsia"/>
                <w:color w:val="auto"/>
                <w:szCs w:val="21"/>
                <w:highlight w:val="none"/>
              </w:rPr>
              <w:t>敏感点满足《声环</w:t>
            </w:r>
          </w:p>
          <w:p>
            <w:pPr>
              <w:adjustRightInd w:val="0"/>
              <w:snapToGrid w:val="0"/>
              <w:jc w:val="center"/>
              <w:rPr>
                <w:color w:val="auto"/>
                <w:szCs w:val="21"/>
                <w:highlight w:val="none"/>
              </w:rPr>
            </w:pPr>
            <w:r>
              <w:rPr>
                <w:rFonts w:hint="eastAsia"/>
                <w:color w:val="auto"/>
                <w:szCs w:val="21"/>
                <w:highlight w:val="none"/>
              </w:rPr>
              <w:t>境质量标准》</w:t>
            </w:r>
          </w:p>
          <w:p>
            <w:pPr>
              <w:adjustRightInd w:val="0"/>
              <w:snapToGrid w:val="0"/>
              <w:rPr>
                <w:color w:val="auto"/>
                <w:szCs w:val="21"/>
                <w:highlight w:val="none"/>
              </w:rPr>
            </w:pPr>
            <w:r>
              <w:rPr>
                <w:rFonts w:hint="eastAsia"/>
                <w:color w:val="auto"/>
                <w:szCs w:val="21"/>
                <w:highlight w:val="none"/>
              </w:rPr>
              <w:t>（GB3096-2008）</w:t>
            </w:r>
          </w:p>
          <w:p>
            <w:pPr>
              <w:adjustRightInd w:val="0"/>
              <w:snapToGrid w:val="0"/>
              <w:jc w:val="center"/>
              <w:rPr>
                <w:color w:val="auto"/>
                <w:szCs w:val="21"/>
                <w:highlight w:val="none"/>
              </w:rPr>
            </w:pPr>
            <w:r>
              <w:rPr>
                <w:rFonts w:hint="eastAsia"/>
                <w:color w:val="auto"/>
                <w:szCs w:val="21"/>
                <w:highlight w:val="none"/>
              </w:rPr>
              <w:t>中相应功能区标准限值要求；</w:t>
            </w:r>
          </w:p>
          <w:p>
            <w:pPr>
              <w:adjustRightInd w:val="0"/>
              <w:snapToGrid w:val="0"/>
              <w:jc w:val="center"/>
              <w:rPr>
                <w:color w:val="auto"/>
                <w:szCs w:val="21"/>
                <w:highlight w:val="none"/>
              </w:rPr>
            </w:pPr>
            <w:r>
              <w:rPr>
                <w:rFonts w:hint="eastAsia"/>
                <w:color w:val="auto"/>
                <w:szCs w:val="21"/>
                <w:highlight w:val="none"/>
              </w:rPr>
              <w:t>道路两侧噪声达标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2" w:type="pct"/>
            <w:vAlign w:val="center"/>
          </w:tcPr>
          <w:p>
            <w:pPr>
              <w:adjustRightInd w:val="0"/>
              <w:snapToGrid w:val="0"/>
              <w:jc w:val="center"/>
              <w:rPr>
                <w:color w:val="auto"/>
                <w:szCs w:val="21"/>
                <w:highlight w:val="none"/>
              </w:rPr>
            </w:pPr>
            <w:r>
              <w:rPr>
                <w:color w:val="auto"/>
                <w:szCs w:val="21"/>
                <w:highlight w:val="none"/>
              </w:rPr>
              <w:t>振动</w:t>
            </w:r>
          </w:p>
        </w:tc>
        <w:tc>
          <w:tcPr>
            <w:tcW w:w="1198" w:type="pct"/>
            <w:vAlign w:val="center"/>
          </w:tcPr>
          <w:p>
            <w:pPr>
              <w:adjustRightInd w:val="0"/>
              <w:snapToGrid w:val="0"/>
              <w:jc w:val="center"/>
              <w:rPr>
                <w:color w:val="auto"/>
                <w:szCs w:val="21"/>
                <w:highlight w:val="none"/>
              </w:rPr>
            </w:pPr>
            <w:r>
              <w:rPr>
                <w:rFonts w:hint="eastAsia" w:ascii="宋体" w:hAnsi="宋体" w:cs="宋体"/>
                <w:color w:val="auto"/>
                <w:kern w:val="0"/>
                <w:szCs w:val="21"/>
                <w:highlight w:val="none"/>
              </w:rPr>
              <w:t>合理安排打桩时间，禁止夜间打桩，采用静压式打桩。</w:t>
            </w:r>
          </w:p>
        </w:tc>
        <w:tc>
          <w:tcPr>
            <w:tcW w:w="1151" w:type="pct"/>
            <w:vAlign w:val="center"/>
          </w:tcPr>
          <w:p>
            <w:pPr>
              <w:adjustRightInd w:val="0"/>
              <w:snapToGrid w:val="0"/>
              <w:jc w:val="center"/>
              <w:rPr>
                <w:color w:val="auto"/>
                <w:szCs w:val="21"/>
                <w:highlight w:val="none"/>
              </w:rPr>
            </w:pPr>
            <w:r>
              <w:rPr>
                <w:rFonts w:hint="eastAsia"/>
                <w:color w:val="auto"/>
                <w:szCs w:val="21"/>
                <w:highlight w:val="none"/>
              </w:rPr>
              <w:t>施工期未接到投诉</w:t>
            </w:r>
          </w:p>
        </w:tc>
        <w:tc>
          <w:tcPr>
            <w:tcW w:w="1030" w:type="pct"/>
            <w:vAlign w:val="center"/>
          </w:tcPr>
          <w:p>
            <w:pPr>
              <w:adjustRightInd w:val="0"/>
              <w:snapToGrid w:val="0"/>
              <w:jc w:val="center"/>
              <w:rPr>
                <w:color w:val="auto"/>
                <w:szCs w:val="21"/>
                <w:highlight w:val="none"/>
              </w:rPr>
            </w:pPr>
            <w:r>
              <w:rPr>
                <w:rFonts w:hint="eastAsia"/>
                <w:color w:val="auto"/>
                <w:szCs w:val="21"/>
                <w:highlight w:val="none"/>
              </w:rPr>
              <w:t>/</w:t>
            </w:r>
          </w:p>
        </w:tc>
        <w:tc>
          <w:tcPr>
            <w:tcW w:w="1177" w:type="pct"/>
            <w:vAlign w:val="center"/>
          </w:tcPr>
          <w:p>
            <w:pPr>
              <w:adjustRightInd w:val="0"/>
              <w:snapToGrid w:val="0"/>
              <w:jc w:val="center"/>
              <w:rPr>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2" w:type="pct"/>
            <w:vAlign w:val="center"/>
          </w:tcPr>
          <w:p>
            <w:pPr>
              <w:adjustRightInd w:val="0"/>
              <w:snapToGrid w:val="0"/>
              <w:jc w:val="center"/>
              <w:rPr>
                <w:color w:val="auto"/>
                <w:szCs w:val="21"/>
                <w:highlight w:val="none"/>
              </w:rPr>
            </w:pPr>
            <w:r>
              <w:rPr>
                <w:color w:val="auto"/>
                <w:szCs w:val="21"/>
                <w:highlight w:val="none"/>
              </w:rPr>
              <w:t>大气</w:t>
            </w:r>
          </w:p>
          <w:p>
            <w:pPr>
              <w:adjustRightInd w:val="0"/>
              <w:snapToGrid w:val="0"/>
              <w:jc w:val="center"/>
              <w:rPr>
                <w:color w:val="auto"/>
                <w:szCs w:val="21"/>
                <w:highlight w:val="none"/>
              </w:rPr>
            </w:pPr>
            <w:r>
              <w:rPr>
                <w:color w:val="auto"/>
                <w:szCs w:val="21"/>
                <w:highlight w:val="none"/>
              </w:rPr>
              <w:t>环境</w:t>
            </w:r>
          </w:p>
        </w:tc>
        <w:tc>
          <w:tcPr>
            <w:tcW w:w="2171" w:type="dxa"/>
            <w:vAlign w:val="center"/>
          </w:tcPr>
          <w:p>
            <w:pPr>
              <w:widowControl/>
              <w:jc w:val="center"/>
              <w:rPr>
                <w:color w:val="auto"/>
                <w:szCs w:val="21"/>
                <w:highlight w:val="none"/>
              </w:rPr>
            </w:pPr>
            <w:r>
              <w:rPr>
                <w:rFonts w:hint="eastAsia"/>
                <w:color w:val="auto"/>
                <w:szCs w:val="21"/>
                <w:highlight w:val="none"/>
              </w:rPr>
              <w:t xml:space="preserve">①为减少管线沟槽开挖和运土时的过量扬尘，在晴天或气候干燥的情况下，应适当向填土区、储土堆及作业面、地面撒水； </w:t>
            </w:r>
          </w:p>
          <w:p>
            <w:pPr>
              <w:widowControl/>
              <w:jc w:val="center"/>
              <w:rPr>
                <w:color w:val="auto"/>
                <w:szCs w:val="21"/>
                <w:highlight w:val="none"/>
              </w:rPr>
            </w:pPr>
            <w:r>
              <w:rPr>
                <w:rFonts w:hint="eastAsia"/>
                <w:color w:val="auto"/>
                <w:szCs w:val="21"/>
                <w:highlight w:val="none"/>
              </w:rPr>
              <w:t xml:space="preserve">②开挖出来的泥土和拆解的土应及时运走处理好，不宜堆积时间过长和堆积过高，因为临时堆积，易被风刮起尘土； </w:t>
            </w:r>
          </w:p>
          <w:p>
            <w:pPr>
              <w:widowControl/>
              <w:jc w:val="center"/>
              <w:rPr>
                <w:color w:val="auto"/>
                <w:szCs w:val="21"/>
                <w:highlight w:val="none"/>
              </w:rPr>
            </w:pPr>
            <w:r>
              <w:rPr>
                <w:rFonts w:hint="eastAsia"/>
                <w:color w:val="auto"/>
                <w:szCs w:val="21"/>
                <w:highlight w:val="none"/>
              </w:rPr>
              <w:t xml:space="preserve">③运土卡车要求保持完好，装载不宜过满，保证运土过程不散落； </w:t>
            </w:r>
          </w:p>
          <w:p>
            <w:pPr>
              <w:widowControl/>
              <w:jc w:val="center"/>
              <w:rPr>
                <w:color w:val="auto"/>
                <w:szCs w:val="21"/>
                <w:highlight w:val="none"/>
              </w:rPr>
            </w:pPr>
            <w:r>
              <w:rPr>
                <w:rFonts w:hint="eastAsia"/>
                <w:color w:val="auto"/>
                <w:szCs w:val="21"/>
                <w:highlight w:val="none"/>
              </w:rPr>
              <w:t xml:space="preserve">④经常清洗运载汽车的车轮和底盘上的泥土，减少汽车在运输过程携带泥土、杂物散落地面和路面； </w:t>
            </w:r>
          </w:p>
          <w:p>
            <w:pPr>
              <w:widowControl/>
              <w:jc w:val="center"/>
              <w:rPr>
                <w:color w:val="auto"/>
                <w:szCs w:val="21"/>
                <w:highlight w:val="none"/>
              </w:rPr>
            </w:pPr>
            <w:r>
              <w:rPr>
                <w:rFonts w:hint="eastAsia"/>
                <w:color w:val="auto"/>
                <w:szCs w:val="21"/>
                <w:highlight w:val="none"/>
              </w:rPr>
              <w:t xml:space="preserve">⑤及时清扫因雨水夹带和运输散落在施工场地、路面上的泥土，减少卡车运行过程和刮风引起的扬尘； </w:t>
            </w:r>
          </w:p>
          <w:p>
            <w:pPr>
              <w:widowControl/>
              <w:jc w:val="center"/>
              <w:rPr>
                <w:color w:val="auto"/>
                <w:szCs w:val="21"/>
                <w:highlight w:val="none"/>
              </w:rPr>
            </w:pPr>
            <w:r>
              <w:rPr>
                <w:rFonts w:hint="eastAsia"/>
                <w:color w:val="auto"/>
                <w:szCs w:val="21"/>
                <w:highlight w:val="none"/>
              </w:rPr>
              <w:t>⑥规划好施工车辆的运行路线，尽量避开生活区和人流密集的交通要道，避免交通堵塞及注意车辆维修保养，以减少汽车尾气排放。</w:t>
            </w:r>
          </w:p>
        </w:tc>
        <w:tc>
          <w:tcPr>
            <w:tcW w:w="1151" w:type="pct"/>
            <w:vAlign w:val="center"/>
          </w:tcPr>
          <w:p>
            <w:pPr>
              <w:widowControl/>
              <w:jc w:val="center"/>
              <w:rPr>
                <w:color w:val="auto"/>
                <w:szCs w:val="21"/>
                <w:highlight w:val="none"/>
              </w:rPr>
            </w:pPr>
            <w:r>
              <w:rPr>
                <w:rFonts w:hint="eastAsia"/>
                <w:color w:val="auto"/>
                <w:szCs w:val="21"/>
                <w:highlight w:val="none"/>
              </w:rPr>
              <w:t>达到《大气污染物综合排放标准》（DB32/4041-2021）</w:t>
            </w:r>
          </w:p>
          <w:p>
            <w:pPr>
              <w:widowControl/>
              <w:jc w:val="center"/>
              <w:rPr>
                <w:color w:val="auto"/>
                <w:szCs w:val="21"/>
                <w:highlight w:val="none"/>
              </w:rPr>
            </w:pPr>
            <w:r>
              <w:rPr>
                <w:rFonts w:hint="eastAsia"/>
                <w:color w:val="auto"/>
                <w:szCs w:val="21"/>
                <w:highlight w:val="none"/>
              </w:rPr>
              <w:t>表 2 标准及《施工场地扬尘排放标准》（DB32/4437-2022）表1施工场地扬尘排放浓度限值。</w:t>
            </w:r>
          </w:p>
        </w:tc>
        <w:tc>
          <w:tcPr>
            <w:tcW w:w="1030" w:type="pct"/>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①上路车辆排污要求符合有关汽车尾气排放标准；</w:t>
            </w:r>
          </w:p>
          <w:p>
            <w:pPr>
              <w:widowControl/>
              <w:jc w:val="center"/>
              <w:rPr>
                <w:color w:val="auto"/>
                <w:highlight w:val="none"/>
              </w:rPr>
            </w:pPr>
            <w:r>
              <w:rPr>
                <w:rFonts w:hint="eastAsia" w:ascii="宋体" w:hAnsi="宋体" w:cs="宋体"/>
                <w:color w:val="auto"/>
                <w:kern w:val="0"/>
                <w:szCs w:val="21"/>
                <w:highlight w:val="none"/>
              </w:rPr>
              <w:t>②加强交通的管理提高道路利用效率，减少因拥挤塞车造成的大气污染；</w:t>
            </w:r>
          </w:p>
          <w:p>
            <w:pPr>
              <w:widowControl/>
              <w:jc w:val="center"/>
              <w:rPr>
                <w:color w:val="auto"/>
                <w:szCs w:val="21"/>
                <w:highlight w:val="none"/>
              </w:rPr>
            </w:pPr>
            <w:r>
              <w:rPr>
                <w:rFonts w:hint="eastAsia" w:ascii="宋体" w:hAnsi="宋体" w:cs="宋体"/>
                <w:color w:val="auto"/>
                <w:kern w:val="0"/>
                <w:szCs w:val="21"/>
                <w:highlight w:val="none"/>
              </w:rPr>
              <w:t>③加强绿化，利用植物来吸收污染物，减轻污染</w:t>
            </w:r>
          </w:p>
        </w:tc>
        <w:tc>
          <w:tcPr>
            <w:tcW w:w="1177" w:type="pct"/>
            <w:vAlign w:val="center"/>
          </w:tcPr>
          <w:p>
            <w:pPr>
              <w:widowControl/>
              <w:jc w:val="center"/>
              <w:rPr>
                <w:color w:val="auto"/>
                <w:szCs w:val="21"/>
                <w:highlight w:val="none"/>
              </w:rPr>
            </w:pPr>
            <w:r>
              <w:rPr>
                <w:rFonts w:hint="eastAsia" w:ascii="宋体" w:hAnsi="宋体" w:cs="宋体"/>
                <w:color w:val="auto"/>
                <w:kern w:val="0"/>
                <w:szCs w:val="21"/>
                <w:highlight w:val="none"/>
              </w:rPr>
              <w:t>营运期对周围的大气环境的影响在可控制的范围内。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2" w:type="pct"/>
            <w:vAlign w:val="center"/>
          </w:tcPr>
          <w:p>
            <w:pPr>
              <w:adjustRightInd w:val="0"/>
              <w:snapToGrid w:val="0"/>
              <w:jc w:val="center"/>
              <w:rPr>
                <w:color w:val="auto"/>
                <w:szCs w:val="21"/>
                <w:highlight w:val="none"/>
              </w:rPr>
            </w:pPr>
            <w:r>
              <w:rPr>
                <w:color w:val="auto"/>
                <w:szCs w:val="21"/>
                <w:highlight w:val="none"/>
              </w:rPr>
              <w:t>固体废物</w:t>
            </w:r>
          </w:p>
        </w:tc>
        <w:tc>
          <w:tcPr>
            <w:tcW w:w="1198" w:type="pct"/>
            <w:vAlign w:val="center"/>
          </w:tcPr>
          <w:p>
            <w:pPr>
              <w:adjustRightInd w:val="0"/>
              <w:snapToGrid w:val="0"/>
              <w:jc w:val="center"/>
              <w:rPr>
                <w:color w:val="auto"/>
                <w:highlight w:val="none"/>
              </w:rPr>
            </w:pPr>
            <w:r>
              <w:rPr>
                <w:color w:val="auto"/>
                <w:highlight w:val="none"/>
              </w:rPr>
              <w:t>施工期间有部分施工垃圾等，这些建筑垃圾应</w:t>
            </w:r>
            <w:r>
              <w:rPr>
                <w:rFonts w:hint="eastAsia"/>
                <w:color w:val="auto"/>
                <w:highlight w:val="none"/>
              </w:rPr>
              <w:t>按</w:t>
            </w:r>
            <w:r>
              <w:rPr>
                <w:color w:val="auto"/>
                <w:highlight w:val="none"/>
              </w:rPr>
              <w:t>分类收集，集中处理，回收利用。</w:t>
            </w:r>
            <w:r>
              <w:rPr>
                <w:rFonts w:hint="eastAsia"/>
                <w:color w:val="auto"/>
                <w:highlight w:val="none"/>
              </w:rPr>
              <w:t>生活垃圾由环卫清运。</w:t>
            </w:r>
          </w:p>
        </w:tc>
        <w:tc>
          <w:tcPr>
            <w:tcW w:w="1151" w:type="pct"/>
            <w:vAlign w:val="center"/>
          </w:tcPr>
          <w:p>
            <w:pPr>
              <w:adjustRightInd w:val="0"/>
              <w:snapToGrid w:val="0"/>
              <w:jc w:val="center"/>
              <w:rPr>
                <w:color w:val="auto"/>
                <w:szCs w:val="21"/>
                <w:highlight w:val="none"/>
              </w:rPr>
            </w:pPr>
            <w:r>
              <w:rPr>
                <w:rFonts w:hint="eastAsia"/>
                <w:color w:val="auto"/>
                <w:szCs w:val="21"/>
                <w:highlight w:val="none"/>
              </w:rPr>
              <w:t>无害化、减量化、资源化</w:t>
            </w:r>
          </w:p>
        </w:tc>
        <w:tc>
          <w:tcPr>
            <w:tcW w:w="1030" w:type="pct"/>
            <w:vAlign w:val="center"/>
          </w:tcPr>
          <w:p>
            <w:pPr>
              <w:adjustRightInd w:val="0"/>
              <w:snapToGrid w:val="0"/>
              <w:jc w:val="center"/>
              <w:rPr>
                <w:color w:val="auto"/>
                <w:szCs w:val="21"/>
                <w:highlight w:val="none"/>
              </w:rPr>
            </w:pPr>
            <w:r>
              <w:rPr>
                <w:rFonts w:hint="eastAsia" w:ascii="宋体" w:hAnsi="宋体" w:cs="宋体"/>
                <w:color w:val="auto"/>
                <w:kern w:val="0"/>
                <w:szCs w:val="21"/>
                <w:highlight w:val="none"/>
              </w:rPr>
              <w:t>由相</w:t>
            </w:r>
            <w:r>
              <w:rPr>
                <w:rStyle w:val="22"/>
                <w:rFonts w:hint="eastAsia"/>
                <w:color w:val="auto"/>
                <w:kern w:val="0"/>
                <w:szCs w:val="20"/>
                <w:highlight w:val="none"/>
              </w:rPr>
              <w:t>关</w:t>
            </w:r>
            <w:r>
              <w:rPr>
                <w:rFonts w:hint="eastAsia" w:ascii="宋体" w:hAnsi="宋体" w:cs="宋体"/>
                <w:color w:val="auto"/>
                <w:kern w:val="0"/>
                <w:szCs w:val="21"/>
                <w:highlight w:val="none"/>
              </w:rPr>
              <w:t>环卫部门做好路面清洁工作即可。在做好分类收集、合理利用的基础上，垃圾由环卫部门统一收集处理</w:t>
            </w:r>
          </w:p>
        </w:tc>
        <w:tc>
          <w:tcPr>
            <w:tcW w:w="1177" w:type="pct"/>
            <w:vAlign w:val="center"/>
          </w:tcPr>
          <w:p>
            <w:pPr>
              <w:adjustRightInd w:val="0"/>
              <w:snapToGrid w:val="0"/>
              <w:jc w:val="center"/>
              <w:rPr>
                <w:color w:val="auto"/>
                <w:szCs w:val="21"/>
                <w:highlight w:val="none"/>
              </w:rPr>
            </w:pPr>
            <w:r>
              <w:rPr>
                <w:rFonts w:hint="eastAsia"/>
                <w:color w:val="auto"/>
                <w:szCs w:val="21"/>
                <w:highlight w:val="none"/>
              </w:rPr>
              <w:t>安全处置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2" w:type="pct"/>
            <w:vAlign w:val="center"/>
          </w:tcPr>
          <w:p>
            <w:pPr>
              <w:adjustRightInd w:val="0"/>
              <w:snapToGrid w:val="0"/>
              <w:jc w:val="center"/>
              <w:rPr>
                <w:color w:val="auto"/>
                <w:szCs w:val="21"/>
                <w:highlight w:val="none"/>
              </w:rPr>
            </w:pPr>
            <w:r>
              <w:rPr>
                <w:color w:val="auto"/>
                <w:szCs w:val="21"/>
                <w:highlight w:val="none"/>
              </w:rPr>
              <w:t>电磁环境</w:t>
            </w:r>
          </w:p>
        </w:tc>
        <w:tc>
          <w:tcPr>
            <w:tcW w:w="1198" w:type="pct"/>
            <w:vAlign w:val="center"/>
          </w:tcPr>
          <w:p>
            <w:pPr>
              <w:adjustRightInd w:val="0"/>
              <w:snapToGrid w:val="0"/>
              <w:jc w:val="center"/>
              <w:rPr>
                <w:color w:val="auto"/>
                <w:szCs w:val="21"/>
                <w:highlight w:val="none"/>
              </w:rPr>
            </w:pPr>
            <w:r>
              <w:rPr>
                <w:rFonts w:hint="eastAsia"/>
                <w:color w:val="auto"/>
                <w:szCs w:val="21"/>
                <w:highlight w:val="none"/>
              </w:rPr>
              <w:t>/</w:t>
            </w:r>
          </w:p>
        </w:tc>
        <w:tc>
          <w:tcPr>
            <w:tcW w:w="1151" w:type="pct"/>
            <w:vAlign w:val="center"/>
          </w:tcPr>
          <w:p>
            <w:pPr>
              <w:adjustRightInd w:val="0"/>
              <w:snapToGrid w:val="0"/>
              <w:jc w:val="center"/>
              <w:rPr>
                <w:color w:val="auto"/>
                <w:szCs w:val="21"/>
                <w:highlight w:val="none"/>
              </w:rPr>
            </w:pPr>
            <w:r>
              <w:rPr>
                <w:rFonts w:hint="eastAsia"/>
                <w:color w:val="auto"/>
                <w:szCs w:val="21"/>
                <w:highlight w:val="none"/>
              </w:rPr>
              <w:t>/</w:t>
            </w:r>
          </w:p>
        </w:tc>
        <w:tc>
          <w:tcPr>
            <w:tcW w:w="1030" w:type="pct"/>
            <w:vAlign w:val="center"/>
          </w:tcPr>
          <w:p>
            <w:pPr>
              <w:adjustRightInd w:val="0"/>
              <w:snapToGrid w:val="0"/>
              <w:jc w:val="center"/>
              <w:rPr>
                <w:color w:val="auto"/>
                <w:szCs w:val="21"/>
                <w:highlight w:val="none"/>
              </w:rPr>
            </w:pPr>
            <w:r>
              <w:rPr>
                <w:rFonts w:hint="eastAsia"/>
                <w:color w:val="auto"/>
                <w:szCs w:val="21"/>
                <w:highlight w:val="none"/>
              </w:rPr>
              <w:t>/</w:t>
            </w:r>
          </w:p>
        </w:tc>
        <w:tc>
          <w:tcPr>
            <w:tcW w:w="1177" w:type="pct"/>
            <w:vAlign w:val="center"/>
          </w:tcPr>
          <w:p>
            <w:pPr>
              <w:adjustRightInd w:val="0"/>
              <w:snapToGrid w:val="0"/>
              <w:jc w:val="center"/>
              <w:rPr>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2" w:type="pct"/>
            <w:vAlign w:val="center"/>
          </w:tcPr>
          <w:p>
            <w:pPr>
              <w:adjustRightInd w:val="0"/>
              <w:snapToGrid w:val="0"/>
              <w:jc w:val="center"/>
              <w:rPr>
                <w:color w:val="auto"/>
                <w:szCs w:val="21"/>
                <w:highlight w:val="none"/>
              </w:rPr>
            </w:pPr>
            <w:r>
              <w:rPr>
                <w:color w:val="auto"/>
                <w:szCs w:val="21"/>
                <w:highlight w:val="none"/>
              </w:rPr>
              <w:t>环境风险</w:t>
            </w:r>
          </w:p>
        </w:tc>
        <w:tc>
          <w:tcPr>
            <w:tcW w:w="2171" w:type="dxa"/>
            <w:vAlign w:val="center"/>
          </w:tcPr>
          <w:p>
            <w:pPr>
              <w:adjustRightInd w:val="0"/>
              <w:snapToGrid w:val="0"/>
              <w:jc w:val="center"/>
              <w:rPr>
                <w:color w:val="auto"/>
                <w:szCs w:val="21"/>
                <w:highlight w:val="none"/>
              </w:rPr>
            </w:pPr>
            <w:r>
              <w:rPr>
                <w:rFonts w:hint="eastAsia"/>
                <w:color w:val="auto"/>
                <w:sz w:val="24"/>
                <w:highlight w:val="none"/>
              </w:rPr>
              <w:t>/</w:t>
            </w:r>
          </w:p>
        </w:tc>
        <w:tc>
          <w:tcPr>
            <w:tcW w:w="2086" w:type="dxa"/>
            <w:vAlign w:val="center"/>
          </w:tcPr>
          <w:p>
            <w:pPr>
              <w:adjustRightInd w:val="0"/>
              <w:snapToGrid w:val="0"/>
              <w:jc w:val="center"/>
              <w:rPr>
                <w:color w:val="auto"/>
                <w:szCs w:val="21"/>
                <w:highlight w:val="none"/>
              </w:rPr>
            </w:pPr>
            <w:r>
              <w:rPr>
                <w:rFonts w:hint="eastAsia"/>
                <w:color w:val="auto"/>
                <w:sz w:val="24"/>
                <w:highlight w:val="none"/>
              </w:rPr>
              <w:t>/</w:t>
            </w:r>
          </w:p>
        </w:tc>
        <w:tc>
          <w:tcPr>
            <w:tcW w:w="1866" w:type="dxa"/>
            <w:vAlign w:val="center"/>
          </w:tcPr>
          <w:p>
            <w:pPr>
              <w:adjustRightInd w:val="0"/>
              <w:snapToGrid w:val="0"/>
              <w:jc w:val="center"/>
              <w:rPr>
                <w:color w:val="auto"/>
                <w:highlight w:val="none"/>
              </w:rPr>
            </w:pPr>
            <w:r>
              <w:rPr>
                <w:rFonts w:hint="eastAsia"/>
                <w:color w:val="auto"/>
                <w:sz w:val="24"/>
                <w:highlight w:val="none"/>
              </w:rPr>
              <w:t>/</w:t>
            </w:r>
          </w:p>
        </w:tc>
        <w:tc>
          <w:tcPr>
            <w:tcW w:w="1177" w:type="pct"/>
            <w:vAlign w:val="center"/>
          </w:tcPr>
          <w:p>
            <w:pPr>
              <w:adjustRightInd w:val="0"/>
              <w:snapToGrid w:val="0"/>
              <w:jc w:val="center"/>
              <w:rPr>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2" w:type="pct"/>
            <w:vAlign w:val="center"/>
          </w:tcPr>
          <w:p>
            <w:pPr>
              <w:adjustRightInd w:val="0"/>
              <w:snapToGrid w:val="0"/>
              <w:jc w:val="center"/>
              <w:rPr>
                <w:color w:val="auto"/>
                <w:szCs w:val="21"/>
                <w:highlight w:val="none"/>
              </w:rPr>
            </w:pPr>
            <w:r>
              <w:rPr>
                <w:color w:val="auto"/>
                <w:szCs w:val="21"/>
                <w:highlight w:val="none"/>
              </w:rPr>
              <w:t>环境监测</w:t>
            </w:r>
          </w:p>
        </w:tc>
        <w:tc>
          <w:tcPr>
            <w:tcW w:w="1198" w:type="pct"/>
            <w:vAlign w:val="center"/>
          </w:tcPr>
          <w:p>
            <w:pPr>
              <w:adjustRightInd w:val="0"/>
              <w:snapToGrid w:val="0"/>
              <w:jc w:val="center"/>
              <w:rPr>
                <w:color w:val="auto"/>
                <w:szCs w:val="21"/>
                <w:highlight w:val="none"/>
              </w:rPr>
            </w:pPr>
            <w:r>
              <w:rPr>
                <w:rFonts w:hint="eastAsia"/>
                <w:color w:val="auto"/>
                <w:szCs w:val="21"/>
                <w:highlight w:val="none"/>
              </w:rPr>
              <w:t>施工期跟踪监测</w:t>
            </w:r>
          </w:p>
        </w:tc>
        <w:tc>
          <w:tcPr>
            <w:tcW w:w="1151" w:type="pct"/>
            <w:vAlign w:val="center"/>
          </w:tcPr>
          <w:p>
            <w:pPr>
              <w:adjustRightInd w:val="0"/>
              <w:snapToGrid w:val="0"/>
              <w:jc w:val="center"/>
              <w:rPr>
                <w:color w:val="auto"/>
                <w:szCs w:val="21"/>
                <w:highlight w:val="none"/>
              </w:rPr>
            </w:pPr>
            <w:r>
              <w:rPr>
                <w:rFonts w:hint="eastAsia"/>
                <w:color w:val="auto"/>
                <w:szCs w:val="21"/>
                <w:highlight w:val="none"/>
              </w:rPr>
              <w:t>《建筑施工场界环境噪声排放标准》</w:t>
            </w:r>
          </w:p>
          <w:p>
            <w:pPr>
              <w:adjustRightInd w:val="0"/>
              <w:snapToGrid w:val="0"/>
              <w:jc w:val="center"/>
              <w:rPr>
                <w:color w:val="auto"/>
                <w:szCs w:val="21"/>
                <w:highlight w:val="none"/>
              </w:rPr>
            </w:pPr>
            <w:r>
              <w:rPr>
                <w:rFonts w:hint="eastAsia"/>
                <w:color w:val="auto"/>
                <w:szCs w:val="21"/>
                <w:highlight w:val="none"/>
              </w:rPr>
              <w:t>（GB12523-2011）</w:t>
            </w:r>
          </w:p>
        </w:tc>
        <w:tc>
          <w:tcPr>
            <w:tcW w:w="1030" w:type="pct"/>
            <w:vAlign w:val="center"/>
          </w:tcPr>
          <w:p>
            <w:pPr>
              <w:adjustRightInd w:val="0"/>
              <w:snapToGrid w:val="0"/>
              <w:jc w:val="center"/>
              <w:rPr>
                <w:color w:val="auto"/>
                <w:szCs w:val="21"/>
                <w:highlight w:val="none"/>
              </w:rPr>
            </w:pPr>
            <w:r>
              <w:rPr>
                <w:rFonts w:hint="eastAsia"/>
                <w:color w:val="auto"/>
                <w:szCs w:val="21"/>
                <w:highlight w:val="none"/>
              </w:rPr>
              <w:t>运营期跟踪监测</w:t>
            </w:r>
          </w:p>
        </w:tc>
        <w:tc>
          <w:tcPr>
            <w:tcW w:w="1177" w:type="pct"/>
            <w:vAlign w:val="center"/>
          </w:tcPr>
          <w:p>
            <w:pPr>
              <w:adjustRightInd w:val="0"/>
              <w:snapToGrid w:val="0"/>
              <w:jc w:val="center"/>
              <w:rPr>
                <w:color w:val="auto"/>
                <w:szCs w:val="21"/>
                <w:highlight w:val="none"/>
              </w:rPr>
            </w:pPr>
            <w:r>
              <w:rPr>
                <w:rFonts w:hint="eastAsia"/>
                <w:color w:val="auto"/>
                <w:szCs w:val="21"/>
                <w:highlight w:val="none"/>
              </w:rPr>
              <w:t>《声环境质量标准》</w:t>
            </w:r>
          </w:p>
          <w:p>
            <w:pPr>
              <w:adjustRightInd w:val="0"/>
              <w:snapToGrid w:val="0"/>
              <w:jc w:val="center"/>
              <w:rPr>
                <w:color w:val="auto"/>
                <w:szCs w:val="21"/>
                <w:highlight w:val="none"/>
              </w:rPr>
            </w:pPr>
            <w:r>
              <w:rPr>
                <w:rFonts w:hint="eastAsia"/>
                <w:color w:val="auto"/>
                <w:szCs w:val="21"/>
                <w:highlight w:val="none"/>
              </w:rPr>
              <w:t>（GB3096-2008）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2" w:type="pct"/>
            <w:vAlign w:val="center"/>
          </w:tcPr>
          <w:p>
            <w:pPr>
              <w:adjustRightInd w:val="0"/>
              <w:snapToGrid w:val="0"/>
              <w:jc w:val="center"/>
              <w:rPr>
                <w:color w:val="auto"/>
                <w:szCs w:val="21"/>
                <w:highlight w:val="none"/>
              </w:rPr>
            </w:pPr>
            <w:r>
              <w:rPr>
                <w:color w:val="auto"/>
                <w:szCs w:val="21"/>
                <w:highlight w:val="none"/>
              </w:rPr>
              <w:t>其他</w:t>
            </w:r>
          </w:p>
        </w:tc>
        <w:tc>
          <w:tcPr>
            <w:tcW w:w="1198" w:type="pct"/>
            <w:vAlign w:val="center"/>
          </w:tcPr>
          <w:p>
            <w:pPr>
              <w:adjustRightInd w:val="0"/>
              <w:snapToGrid w:val="0"/>
              <w:jc w:val="center"/>
              <w:rPr>
                <w:color w:val="auto"/>
                <w:szCs w:val="21"/>
                <w:highlight w:val="none"/>
              </w:rPr>
            </w:pPr>
            <w:r>
              <w:rPr>
                <w:rFonts w:hint="eastAsia"/>
                <w:color w:val="auto"/>
                <w:szCs w:val="21"/>
                <w:highlight w:val="none"/>
              </w:rPr>
              <w:t>/</w:t>
            </w:r>
          </w:p>
        </w:tc>
        <w:tc>
          <w:tcPr>
            <w:tcW w:w="1151" w:type="pct"/>
            <w:vAlign w:val="center"/>
          </w:tcPr>
          <w:p>
            <w:pPr>
              <w:adjustRightInd w:val="0"/>
              <w:snapToGrid w:val="0"/>
              <w:jc w:val="center"/>
              <w:rPr>
                <w:color w:val="auto"/>
                <w:szCs w:val="21"/>
                <w:highlight w:val="none"/>
              </w:rPr>
            </w:pPr>
            <w:r>
              <w:rPr>
                <w:rFonts w:hint="eastAsia"/>
                <w:color w:val="auto"/>
                <w:szCs w:val="21"/>
                <w:highlight w:val="none"/>
              </w:rPr>
              <w:t>/</w:t>
            </w:r>
          </w:p>
        </w:tc>
        <w:tc>
          <w:tcPr>
            <w:tcW w:w="1030" w:type="pct"/>
            <w:vAlign w:val="center"/>
          </w:tcPr>
          <w:p>
            <w:pPr>
              <w:adjustRightInd w:val="0"/>
              <w:snapToGrid w:val="0"/>
              <w:jc w:val="center"/>
              <w:rPr>
                <w:color w:val="auto"/>
                <w:szCs w:val="21"/>
                <w:highlight w:val="none"/>
              </w:rPr>
            </w:pPr>
            <w:r>
              <w:rPr>
                <w:rFonts w:hint="eastAsia"/>
                <w:color w:val="auto"/>
                <w:szCs w:val="21"/>
                <w:highlight w:val="none"/>
              </w:rPr>
              <w:t>/</w:t>
            </w:r>
          </w:p>
        </w:tc>
        <w:tc>
          <w:tcPr>
            <w:tcW w:w="1177" w:type="pct"/>
            <w:vAlign w:val="center"/>
          </w:tcPr>
          <w:p>
            <w:pPr>
              <w:adjustRightInd w:val="0"/>
              <w:snapToGrid w:val="0"/>
              <w:jc w:val="center"/>
              <w:rPr>
                <w:color w:val="auto"/>
                <w:szCs w:val="21"/>
                <w:highlight w:val="none"/>
              </w:rPr>
            </w:pPr>
            <w:r>
              <w:rPr>
                <w:rFonts w:hint="eastAsia"/>
                <w:color w:val="auto"/>
                <w:szCs w:val="21"/>
                <w:highlight w:val="none"/>
              </w:rPr>
              <w:t>/</w:t>
            </w:r>
          </w:p>
        </w:tc>
      </w:tr>
    </w:tbl>
    <w:p>
      <w:pPr>
        <w:pStyle w:val="15"/>
        <w:jc w:val="center"/>
        <w:outlineLvl w:val="0"/>
        <w:rPr>
          <w:rFonts w:ascii="黑体" w:hAnsi="黑体" w:eastAsia="黑体"/>
          <w:snapToGrid w:val="0"/>
          <w:color w:val="auto"/>
          <w:sz w:val="30"/>
          <w:szCs w:val="30"/>
          <w:highlight w:val="none"/>
        </w:rPr>
      </w:pPr>
      <w:r>
        <w:rPr>
          <w:snapToGrid w:val="0"/>
          <w:color w:val="auto"/>
          <w:highlight w:val="none"/>
        </w:rPr>
        <w:br w:type="page"/>
      </w:r>
      <w:bookmarkStart w:id="8" w:name="_Toc26785"/>
      <w:r>
        <w:rPr>
          <w:rFonts w:hint="eastAsia" w:ascii="黑体" w:hAnsi="黑体" w:eastAsia="黑体"/>
          <w:snapToGrid w:val="0"/>
          <w:color w:val="auto"/>
          <w:sz w:val="30"/>
          <w:szCs w:val="30"/>
          <w:highlight w:val="none"/>
        </w:rPr>
        <w:t>七、结论</w:t>
      </w:r>
      <w:bookmarkEnd w:id="8"/>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widowControl/>
              <w:spacing w:line="360" w:lineRule="auto"/>
              <w:ind w:firstLine="480" w:firstLineChars="200"/>
              <w:jc w:val="left"/>
              <w:rPr>
                <w:rFonts w:ascii="宋体" w:hAnsi="宋体" w:cs="宋体"/>
                <w:bCs/>
                <w:color w:val="auto"/>
                <w:kern w:val="0"/>
                <w:sz w:val="24"/>
                <w:highlight w:val="none"/>
              </w:rPr>
            </w:pPr>
            <w:r>
              <w:rPr>
                <w:rFonts w:hint="eastAsia"/>
                <w:bCs/>
                <w:color w:val="auto"/>
                <w:sz w:val="24"/>
                <w:highlight w:val="none"/>
              </w:rPr>
              <w:t>一</w:t>
            </w:r>
            <w:r>
              <w:rPr>
                <w:bCs/>
                <w:color w:val="auto"/>
                <w:sz w:val="24"/>
                <w:highlight w:val="none"/>
              </w:rPr>
              <w:t>、</w:t>
            </w:r>
            <w:r>
              <w:rPr>
                <w:rFonts w:hint="eastAsia"/>
                <w:bCs/>
                <w:color w:val="auto"/>
                <w:sz w:val="24"/>
                <w:highlight w:val="none"/>
              </w:rPr>
              <w:t>结论</w:t>
            </w:r>
          </w:p>
          <w:p>
            <w:pPr>
              <w:widowControl/>
              <w:spacing w:line="360" w:lineRule="auto"/>
              <w:ind w:firstLine="480" w:firstLineChars="200"/>
              <w:jc w:val="left"/>
              <w:rPr>
                <w:bCs/>
                <w:color w:val="auto"/>
                <w:sz w:val="24"/>
                <w:highlight w:val="none"/>
              </w:rPr>
            </w:pPr>
            <w:r>
              <w:rPr>
                <w:rFonts w:hint="eastAsia"/>
                <w:bCs/>
                <w:color w:val="auto"/>
                <w:sz w:val="24"/>
                <w:highlight w:val="none"/>
              </w:rPr>
              <w:t>本项目为苏州工业园区市政工程部扬东路西延工程，工程实施过程中及实施后将会对项目所在地区的生态环境、噪声、环境空气等产生一定的影响， 但在建设方认真落实本报告提出的各项环保措施，并严格执行相关环境保护规范的前提下，工程建设对周围环境的影响可以得到有效控制，对周边环境不会产生明显影响。从环保角度看，该建设项目是可行的。</w:t>
            </w:r>
          </w:p>
          <w:p>
            <w:pPr>
              <w:widowControl/>
              <w:spacing w:line="360" w:lineRule="auto"/>
              <w:ind w:firstLine="480" w:firstLineChars="200"/>
              <w:jc w:val="left"/>
              <w:rPr>
                <w:bCs/>
                <w:color w:val="auto"/>
                <w:sz w:val="24"/>
                <w:highlight w:val="none"/>
              </w:rPr>
            </w:pPr>
            <w:r>
              <w:rPr>
                <w:rFonts w:hint="eastAsia"/>
                <w:bCs/>
                <w:color w:val="auto"/>
                <w:sz w:val="24"/>
                <w:highlight w:val="none"/>
              </w:rPr>
              <w:t>二、噪声专项</w:t>
            </w:r>
          </w:p>
          <w:p>
            <w:pPr>
              <w:widowControl/>
              <w:spacing w:line="360" w:lineRule="auto"/>
              <w:ind w:firstLine="480" w:firstLineChars="200"/>
              <w:jc w:val="left"/>
              <w:rPr>
                <w:bCs/>
                <w:color w:val="auto"/>
                <w:sz w:val="24"/>
                <w:highlight w:val="none"/>
              </w:rPr>
            </w:pPr>
            <w:r>
              <w:rPr>
                <w:rFonts w:hint="eastAsia"/>
                <w:bCs/>
                <w:color w:val="auto"/>
                <w:sz w:val="24"/>
                <w:highlight w:val="none"/>
              </w:rPr>
              <w:t>三、附图附件</w:t>
            </w:r>
          </w:p>
          <w:p>
            <w:pPr>
              <w:widowControl/>
              <w:spacing w:line="360" w:lineRule="auto"/>
              <w:ind w:firstLine="480" w:firstLineChars="200"/>
              <w:jc w:val="left"/>
              <w:rPr>
                <w:bCs/>
                <w:color w:val="auto"/>
                <w:sz w:val="24"/>
                <w:highlight w:val="none"/>
              </w:rPr>
            </w:pPr>
            <w:r>
              <w:rPr>
                <w:rFonts w:hint="eastAsia"/>
                <w:bCs/>
                <w:color w:val="auto"/>
                <w:sz w:val="24"/>
                <w:highlight w:val="none"/>
              </w:rPr>
              <w:t xml:space="preserve">附图  </w:t>
            </w:r>
          </w:p>
          <w:p>
            <w:pPr>
              <w:widowControl/>
              <w:spacing w:line="360" w:lineRule="auto"/>
              <w:ind w:firstLine="480" w:firstLineChars="200"/>
              <w:jc w:val="left"/>
              <w:rPr>
                <w:bCs/>
                <w:color w:val="auto"/>
                <w:sz w:val="24"/>
                <w:highlight w:val="none"/>
              </w:rPr>
            </w:pPr>
            <w:r>
              <w:rPr>
                <w:rFonts w:hint="eastAsia"/>
                <w:bCs/>
                <w:color w:val="auto"/>
                <w:sz w:val="24"/>
                <w:highlight w:val="none"/>
              </w:rPr>
              <w:t>（1）项目地理位置图</w:t>
            </w:r>
          </w:p>
          <w:p>
            <w:pPr>
              <w:widowControl/>
              <w:spacing w:line="360" w:lineRule="auto"/>
              <w:ind w:firstLine="480" w:firstLineChars="200"/>
              <w:jc w:val="left"/>
              <w:rPr>
                <w:bCs/>
                <w:color w:val="auto"/>
                <w:sz w:val="24"/>
                <w:highlight w:val="none"/>
              </w:rPr>
            </w:pPr>
            <w:r>
              <w:rPr>
                <w:rFonts w:hint="eastAsia"/>
                <w:bCs/>
                <w:color w:val="auto"/>
                <w:sz w:val="24"/>
                <w:highlight w:val="none"/>
              </w:rPr>
              <w:t>（2）项目周边概况图</w:t>
            </w:r>
          </w:p>
          <w:p>
            <w:pPr>
              <w:widowControl/>
              <w:spacing w:line="360" w:lineRule="auto"/>
              <w:ind w:firstLine="480" w:firstLineChars="200"/>
              <w:jc w:val="left"/>
              <w:rPr>
                <w:bCs/>
                <w:color w:val="auto"/>
                <w:sz w:val="24"/>
                <w:highlight w:val="none"/>
              </w:rPr>
            </w:pPr>
            <w:r>
              <w:rPr>
                <w:rFonts w:hint="eastAsia"/>
                <w:bCs/>
                <w:color w:val="auto"/>
                <w:sz w:val="24"/>
                <w:highlight w:val="none"/>
              </w:rPr>
              <w:t>（3）项目工程示意图</w:t>
            </w:r>
          </w:p>
          <w:p>
            <w:pPr>
              <w:widowControl/>
              <w:spacing w:line="360" w:lineRule="auto"/>
              <w:ind w:firstLine="480" w:firstLineChars="200"/>
              <w:jc w:val="left"/>
              <w:rPr>
                <w:bCs/>
                <w:color w:val="auto"/>
                <w:sz w:val="24"/>
                <w:highlight w:val="none"/>
              </w:rPr>
            </w:pPr>
            <w:r>
              <w:rPr>
                <w:rFonts w:hint="eastAsia"/>
                <w:bCs/>
                <w:color w:val="auto"/>
                <w:sz w:val="24"/>
                <w:highlight w:val="none"/>
              </w:rPr>
              <w:t>（4）园区规划图</w:t>
            </w:r>
          </w:p>
          <w:p>
            <w:pPr>
              <w:widowControl/>
              <w:spacing w:line="360" w:lineRule="auto"/>
              <w:ind w:firstLine="480" w:firstLineChars="200"/>
              <w:jc w:val="left"/>
              <w:rPr>
                <w:bCs/>
                <w:color w:val="auto"/>
                <w:sz w:val="24"/>
                <w:highlight w:val="none"/>
              </w:rPr>
            </w:pPr>
            <w:r>
              <w:rPr>
                <w:rFonts w:hint="eastAsia"/>
                <w:bCs/>
                <w:color w:val="auto"/>
                <w:sz w:val="24"/>
                <w:highlight w:val="none"/>
              </w:rPr>
              <w:t>（5）综合交通规划图</w:t>
            </w:r>
          </w:p>
          <w:p>
            <w:pPr>
              <w:widowControl/>
              <w:spacing w:line="360" w:lineRule="auto"/>
              <w:ind w:firstLine="480" w:firstLineChars="200"/>
              <w:jc w:val="left"/>
              <w:rPr>
                <w:bCs/>
                <w:color w:val="auto"/>
                <w:sz w:val="24"/>
                <w:highlight w:val="none"/>
              </w:rPr>
            </w:pPr>
            <w:r>
              <w:rPr>
                <w:rFonts w:hint="eastAsia"/>
                <w:bCs/>
                <w:color w:val="auto"/>
                <w:sz w:val="24"/>
                <w:highlight w:val="none"/>
              </w:rPr>
              <w:t>（6）园区生态空间图</w:t>
            </w:r>
          </w:p>
          <w:p>
            <w:pPr>
              <w:widowControl/>
              <w:spacing w:line="360" w:lineRule="auto"/>
              <w:ind w:firstLine="480" w:firstLineChars="200"/>
              <w:jc w:val="left"/>
              <w:rPr>
                <w:bCs/>
                <w:color w:val="auto"/>
                <w:sz w:val="24"/>
                <w:highlight w:val="none"/>
              </w:rPr>
            </w:pPr>
            <w:r>
              <w:rPr>
                <w:rFonts w:hint="eastAsia"/>
                <w:bCs/>
                <w:color w:val="auto"/>
                <w:sz w:val="24"/>
                <w:highlight w:val="none"/>
              </w:rPr>
              <w:t xml:space="preserve">  附件   </w:t>
            </w:r>
          </w:p>
          <w:p>
            <w:pPr>
              <w:widowControl/>
              <w:spacing w:line="360" w:lineRule="auto"/>
              <w:ind w:firstLine="480" w:firstLineChars="200"/>
              <w:jc w:val="left"/>
              <w:rPr>
                <w:bCs/>
                <w:color w:val="auto"/>
                <w:sz w:val="24"/>
                <w:highlight w:val="none"/>
              </w:rPr>
            </w:pPr>
            <w:r>
              <w:rPr>
                <w:rFonts w:hint="eastAsia"/>
                <w:bCs/>
                <w:color w:val="auto"/>
                <w:sz w:val="24"/>
                <w:highlight w:val="none"/>
              </w:rPr>
              <w:t>（1）事业单位法人证书</w:t>
            </w:r>
          </w:p>
          <w:p>
            <w:pPr>
              <w:widowControl/>
              <w:spacing w:line="360" w:lineRule="auto"/>
              <w:ind w:firstLine="480" w:firstLineChars="200"/>
              <w:jc w:val="left"/>
              <w:rPr>
                <w:bCs/>
                <w:color w:val="auto"/>
                <w:sz w:val="24"/>
                <w:highlight w:val="none"/>
              </w:rPr>
            </w:pPr>
            <w:r>
              <w:rPr>
                <w:rFonts w:hint="eastAsia"/>
                <w:bCs/>
                <w:color w:val="auto"/>
                <w:sz w:val="24"/>
                <w:highlight w:val="none"/>
              </w:rPr>
              <w:t>（2）单位名称变更说明</w:t>
            </w:r>
          </w:p>
          <w:p>
            <w:pPr>
              <w:widowControl/>
              <w:spacing w:line="360" w:lineRule="auto"/>
              <w:ind w:firstLine="480" w:firstLineChars="200"/>
              <w:jc w:val="left"/>
              <w:rPr>
                <w:bCs/>
                <w:color w:val="auto"/>
                <w:sz w:val="24"/>
                <w:highlight w:val="none"/>
              </w:rPr>
            </w:pPr>
            <w:r>
              <w:rPr>
                <w:rFonts w:hint="eastAsia"/>
                <w:bCs/>
                <w:color w:val="auto"/>
                <w:sz w:val="24"/>
                <w:highlight w:val="none"/>
              </w:rPr>
              <w:t>（3）建设项目用地预审与选址意见书</w:t>
            </w:r>
          </w:p>
          <w:p>
            <w:pPr>
              <w:widowControl/>
              <w:spacing w:line="360" w:lineRule="auto"/>
              <w:ind w:firstLine="480" w:firstLineChars="200"/>
              <w:jc w:val="left"/>
              <w:rPr>
                <w:bCs/>
                <w:color w:val="auto"/>
                <w:sz w:val="24"/>
                <w:highlight w:val="none"/>
              </w:rPr>
            </w:pPr>
            <w:r>
              <w:rPr>
                <w:rFonts w:hint="eastAsia"/>
                <w:bCs/>
                <w:color w:val="auto"/>
                <w:sz w:val="24"/>
                <w:highlight w:val="none"/>
              </w:rPr>
              <w:t>（4）可行性研究报告批复</w:t>
            </w:r>
          </w:p>
          <w:p>
            <w:pPr>
              <w:widowControl/>
              <w:spacing w:line="360" w:lineRule="auto"/>
              <w:ind w:firstLine="480" w:firstLineChars="200"/>
              <w:jc w:val="left"/>
              <w:rPr>
                <w:bCs/>
                <w:color w:val="auto"/>
                <w:sz w:val="24"/>
                <w:highlight w:val="none"/>
              </w:rPr>
            </w:pPr>
            <w:r>
              <w:rPr>
                <w:rFonts w:hint="eastAsia"/>
                <w:bCs/>
                <w:color w:val="auto"/>
                <w:sz w:val="24"/>
                <w:highlight w:val="none"/>
              </w:rPr>
              <w:t>（5）项目建议书批复</w:t>
            </w:r>
          </w:p>
          <w:p>
            <w:pPr>
              <w:widowControl/>
              <w:spacing w:line="360" w:lineRule="auto"/>
              <w:ind w:firstLine="480" w:firstLineChars="200"/>
              <w:jc w:val="left"/>
              <w:rPr>
                <w:bCs/>
                <w:color w:val="auto"/>
                <w:sz w:val="24"/>
                <w:highlight w:val="none"/>
              </w:rPr>
            </w:pPr>
            <w:r>
              <w:rPr>
                <w:rFonts w:hint="eastAsia"/>
                <w:bCs/>
                <w:color w:val="auto"/>
                <w:sz w:val="24"/>
                <w:highlight w:val="none"/>
              </w:rPr>
              <w:t>（6）建设用地农用地情况说明</w:t>
            </w:r>
          </w:p>
          <w:p>
            <w:pPr>
              <w:widowControl/>
              <w:spacing w:line="360" w:lineRule="auto"/>
              <w:ind w:firstLine="480" w:firstLineChars="200"/>
              <w:jc w:val="left"/>
              <w:rPr>
                <w:bCs/>
                <w:color w:val="auto"/>
                <w:sz w:val="24"/>
                <w:highlight w:val="none"/>
              </w:rPr>
            </w:pPr>
            <w:r>
              <w:rPr>
                <w:rFonts w:hint="eastAsia"/>
                <w:bCs/>
                <w:color w:val="auto"/>
                <w:sz w:val="24"/>
                <w:highlight w:val="none"/>
              </w:rPr>
              <w:t>（7）全本公示截图</w:t>
            </w:r>
          </w:p>
          <w:p>
            <w:pPr>
              <w:widowControl/>
              <w:spacing w:line="360" w:lineRule="auto"/>
              <w:ind w:firstLine="480" w:firstLineChars="200"/>
              <w:jc w:val="left"/>
              <w:rPr>
                <w:bCs/>
                <w:color w:val="auto"/>
                <w:sz w:val="24"/>
                <w:highlight w:val="none"/>
              </w:rPr>
            </w:pPr>
            <w:r>
              <w:rPr>
                <w:rFonts w:hint="eastAsia"/>
                <w:bCs/>
                <w:color w:val="auto"/>
                <w:sz w:val="24"/>
                <w:highlight w:val="none"/>
              </w:rPr>
              <w:t>（8）建设单位确认书</w:t>
            </w:r>
          </w:p>
          <w:p>
            <w:pPr>
              <w:widowControl/>
              <w:spacing w:line="360" w:lineRule="auto"/>
              <w:ind w:firstLine="480" w:firstLineChars="200"/>
              <w:jc w:val="left"/>
              <w:rPr>
                <w:bCs/>
                <w:color w:val="auto"/>
                <w:sz w:val="24"/>
                <w:highlight w:val="none"/>
              </w:rPr>
            </w:pPr>
            <w:r>
              <w:rPr>
                <w:rFonts w:hint="eastAsia"/>
                <w:bCs/>
                <w:color w:val="auto"/>
                <w:sz w:val="24"/>
                <w:highlight w:val="none"/>
              </w:rPr>
              <w:t>（9）现状监测报告</w:t>
            </w:r>
          </w:p>
          <w:p>
            <w:pPr>
              <w:widowControl/>
              <w:spacing w:line="360" w:lineRule="auto"/>
              <w:ind w:firstLine="480" w:firstLineChars="200"/>
              <w:jc w:val="left"/>
              <w:rPr>
                <w:bCs/>
                <w:color w:val="auto"/>
                <w:sz w:val="24"/>
                <w:highlight w:val="none"/>
              </w:rPr>
            </w:pPr>
            <w:r>
              <w:rPr>
                <w:rFonts w:hint="eastAsia"/>
                <w:bCs/>
                <w:color w:val="auto"/>
                <w:sz w:val="24"/>
                <w:highlight w:val="none"/>
              </w:rPr>
              <w:t>（10）工程师现场踏勘照片</w:t>
            </w:r>
          </w:p>
        </w:tc>
      </w:tr>
    </w:tbl>
    <w:p/>
    <w:sectPr>
      <w:footerReference r:id="rId5" w:type="default"/>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华文仿宋">
    <w:altName w:val="仿宋"/>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82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3"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ind w:firstLine="8120" w:firstLineChars="2900"/>
                            <w:rPr>
                              <w:rStyle w:val="21"/>
                              <w:rFonts w:ascii="宋体" w:hAnsi="宋体"/>
                              <w:sz w:val="28"/>
                              <w:szCs w:val="28"/>
                            </w:rPr>
                          </w:pPr>
                          <w:r>
                            <w:rPr>
                              <w:rStyle w:val="21"/>
                              <w:rFonts w:hint="eastAsia" w:ascii="宋体" w:hAnsi="宋体"/>
                              <w:sz w:val="28"/>
                              <w:szCs w:val="28"/>
                            </w:rPr>
                            <w:t>—</w:t>
                          </w:r>
                          <w:r>
                            <w:rPr>
                              <w:rFonts w:ascii="宋体" w:hAnsi="宋体"/>
                              <w:sz w:val="26"/>
                              <w:szCs w:val="26"/>
                            </w:rPr>
                            <w:fldChar w:fldCharType="begin"/>
                          </w:r>
                          <w:r>
                            <w:rPr>
                              <w:rStyle w:val="21"/>
                              <w:rFonts w:ascii="宋体" w:hAnsi="宋体"/>
                              <w:sz w:val="26"/>
                              <w:szCs w:val="26"/>
                            </w:rPr>
                            <w:instrText xml:space="preserve">PAGE  </w:instrText>
                          </w:r>
                          <w:r>
                            <w:rPr>
                              <w:rFonts w:ascii="宋体" w:hAnsi="宋体"/>
                              <w:sz w:val="26"/>
                              <w:szCs w:val="26"/>
                            </w:rPr>
                            <w:fldChar w:fldCharType="separate"/>
                          </w:r>
                          <w:r>
                            <w:rPr>
                              <w:rStyle w:val="21"/>
                              <w:rFonts w:ascii="宋体" w:hAnsi="宋体"/>
                              <w:sz w:val="26"/>
                              <w:szCs w:val="26"/>
                            </w:rPr>
                            <w:t>78</w:t>
                          </w:r>
                          <w:r>
                            <w:rPr>
                              <w:rFonts w:ascii="宋体" w:hAnsi="宋体"/>
                              <w:sz w:val="26"/>
                              <w:szCs w:val="26"/>
                            </w:rPr>
                            <w:fldChar w:fldCharType="end"/>
                          </w:r>
                          <w:r>
                            <w:rPr>
                              <w:rStyle w:val="21"/>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5"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eVgg7AgAAcQQAAA4AAABkcnMvZTJvRG9jLnhtbK1US27bMBDdF+gd&#10;CO5r+YOkhmE5cGO4KGA0AdKia5qiLAH8gaQtuQdob9BVN93nXD5HHynLKdIusuhGHnKGb+a9mfH8&#10;plWSHITztdE5HQ2GlAjNTVHrXU4/f1q/mVLiA9MFk0aLnB6FpzeL16/mjZ2JsamMLIQjANF+1tic&#10;ViHYWZZ5XgnF/MBYoeEsjVMs4Oh2WeFYA3Qls/FweJ01xhXWGS68x+2qc9IzonsJoCnLmouV4Xsl&#10;dOhQnZAsgJKvauvpIlVbloKHu7L0IhCZUzAN6YsksLfxmy3mbLZzzFY1P5fAXlLCM06K1RpJL1Ar&#10;FhjZu/ovKFVzZ7wpw4AblXVEkiJgMRo+0+ahYlYkLpDa24vo/v/B8o+He0fqIqdvJ5RoptDx04/v&#10;p5+Pp1/fyOQqCtRYP0Pcg0VkaN+ZFmPT33tcRt5t6VT8BSMCP+Q9XuQVbSA8PpqOp9MhXBy+/gD8&#10;7Om5dT68F0aRaOTUoX9JVnbY+NCF9iExmzbrWsrUQ6lJk9PrydUwPbh4AC51jBVpGs4wkVJXerRC&#10;u23PPLemOIKmM92keMvXNUrZMB/umcNooHwsT7jDp5QGKc3ZoqQy7uu/7mM8OgYvJQ1GLacam0WJ&#10;/KDRSQCG3nC9se0NvVe3BrM7wlJankw8cEH2ZumM+oKNWsYccDHNkSmnoTdvQzfu2EgulssUtLeu&#10;3lXdA8yhZWGjHyyPaaJU3i73AdImxaNAnSroVDxgElPPzlsTR/3Pc4p6+qdY/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Kd5WCDsCAABxBAAADgAAAAAAAAABACAAAAAfAQAAZHJzL2Uyb0Rv&#10;Yy54bWxQSwUGAAAAAAYABgBZAQAAzAUAAAAA&#10;">
              <v:fill on="f" focussize="0,0"/>
              <v:stroke on="f" weight="0.5pt"/>
              <v:imagedata o:title=""/>
              <o:lock v:ext="edit" aspectratio="f"/>
              <v:textbox inset="0mm,0mm,0mm,0mm" style="mso-fit-shape-to-text:t;">
                <w:txbxContent>
                  <w:p>
                    <w:pPr>
                      <w:pStyle w:val="11"/>
                      <w:ind w:firstLine="8120" w:firstLineChars="2900"/>
                      <w:rPr>
                        <w:rStyle w:val="21"/>
                        <w:rFonts w:ascii="宋体" w:hAnsi="宋体"/>
                        <w:sz w:val="28"/>
                        <w:szCs w:val="28"/>
                      </w:rPr>
                    </w:pPr>
                    <w:r>
                      <w:rPr>
                        <w:rStyle w:val="21"/>
                        <w:rFonts w:hint="eastAsia" w:ascii="宋体" w:hAnsi="宋体"/>
                        <w:sz w:val="28"/>
                        <w:szCs w:val="28"/>
                      </w:rPr>
                      <w:t>—</w:t>
                    </w:r>
                    <w:r>
                      <w:rPr>
                        <w:rFonts w:ascii="宋体" w:hAnsi="宋体"/>
                        <w:sz w:val="26"/>
                        <w:szCs w:val="26"/>
                      </w:rPr>
                      <w:fldChar w:fldCharType="begin"/>
                    </w:r>
                    <w:r>
                      <w:rPr>
                        <w:rStyle w:val="21"/>
                        <w:rFonts w:ascii="宋体" w:hAnsi="宋体"/>
                        <w:sz w:val="26"/>
                        <w:szCs w:val="26"/>
                      </w:rPr>
                      <w:instrText xml:space="preserve">PAGE  </w:instrText>
                    </w:r>
                    <w:r>
                      <w:rPr>
                        <w:rFonts w:ascii="宋体" w:hAnsi="宋体"/>
                        <w:sz w:val="26"/>
                        <w:szCs w:val="26"/>
                      </w:rPr>
                      <w:fldChar w:fldCharType="separate"/>
                    </w:r>
                    <w:r>
                      <w:rPr>
                        <w:rStyle w:val="21"/>
                        <w:rFonts w:ascii="宋体" w:hAnsi="宋体"/>
                        <w:sz w:val="26"/>
                        <w:szCs w:val="26"/>
                      </w:rPr>
                      <w:t>78</w:t>
                    </w:r>
                    <w:r>
                      <w:rPr>
                        <w:rFonts w:ascii="宋体" w:hAnsi="宋体"/>
                        <w:sz w:val="26"/>
                        <w:szCs w:val="26"/>
                      </w:rPr>
                      <w:fldChar w:fldCharType="end"/>
                    </w:r>
                    <w:r>
                      <w:rPr>
                        <w:rStyle w:val="21"/>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74"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rPr>
                              <w:rStyle w:val="21"/>
                              <w:rFonts w:ascii="宋体" w:hAnsi="宋体"/>
                              <w:sz w:val="28"/>
                              <w:szCs w:val="28"/>
                            </w:rPr>
                          </w:pPr>
                          <w:r>
                            <w:rPr>
                              <w:rStyle w:val="21"/>
                              <w:rFonts w:hint="eastAsia" w:ascii="宋体" w:hAnsi="宋体"/>
                              <w:sz w:val="28"/>
                              <w:szCs w:val="28"/>
                            </w:rPr>
                            <w:t>—</w:t>
                          </w:r>
                          <w:r>
                            <w:rPr>
                              <w:rFonts w:ascii="宋体" w:hAnsi="宋体"/>
                              <w:sz w:val="26"/>
                              <w:szCs w:val="26"/>
                            </w:rPr>
                            <w:fldChar w:fldCharType="begin"/>
                          </w:r>
                          <w:r>
                            <w:rPr>
                              <w:rStyle w:val="21"/>
                              <w:rFonts w:ascii="宋体" w:hAnsi="宋体"/>
                              <w:sz w:val="26"/>
                              <w:szCs w:val="26"/>
                            </w:rPr>
                            <w:instrText xml:space="preserve">PAGE  </w:instrText>
                          </w:r>
                          <w:r>
                            <w:rPr>
                              <w:rFonts w:ascii="宋体" w:hAnsi="宋体"/>
                              <w:sz w:val="26"/>
                              <w:szCs w:val="26"/>
                            </w:rPr>
                            <w:fldChar w:fldCharType="separate"/>
                          </w:r>
                          <w:r>
                            <w:rPr>
                              <w:rStyle w:val="21"/>
                              <w:rFonts w:ascii="宋体" w:hAnsi="宋体"/>
                              <w:sz w:val="26"/>
                              <w:szCs w:val="26"/>
                            </w:rPr>
                            <w:t>81</w:t>
                          </w:r>
                          <w:r>
                            <w:rPr>
                              <w:rFonts w:ascii="宋体" w:hAnsi="宋体"/>
                              <w:sz w:val="26"/>
                              <w:szCs w:val="26"/>
                            </w:rPr>
                            <w:fldChar w:fldCharType="end"/>
                          </w:r>
                          <w:r>
                            <w:rPr>
                              <w:rStyle w:val="21"/>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7"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HiI47AgAAcQQAAA4AAABkcnMvZTJvRG9jLnhtbK1UzY7TMBC+I/EO&#10;lu80bRd2q6rpqmxVhFSxKxXE2XWcJpL/ZLtNygPAG3Diwp3n6nPw2Wm6aOGwBy7p2DP+Zr5vZjq7&#10;bZUkB+F8bXROR4MhJUJzU9R6l9NPH1evJpT4wHTBpNEip0fh6e385YtZY6dibCojC+EIQLSfNjan&#10;VQh2mmWeV0IxPzBWaDhL4xQLOLpdVjjWAF3JbDwcXmeNcYV1hgvvcbvsnPSM6J4DaMqy5mJp+F4J&#10;HTpUJyQLoOSr2no6T9WWpeDhviy9CETmFExD+iIJ7G38ZvMZm+4cs1XNzyWw55TwhJNitUbSC9SS&#10;BUb2rv4LStXcGW/KMOBGZR2RpAhYjIZPtNlUzIrEBVJ7exHd/z9Y/uHw4Ehd5PTmNSWaKXT89P3b&#10;6cev08+v5OomCtRYP0XcxiIytG9Ni7Hp7z0uI++2dCr+ghGBH/IeL/KKNhAeH03Gk8kQLg5ffwB+&#10;9vjcOh/eCaNINHLq0L8kKzusfehC+5CYTZtVLWXqodSkyen11ZthenDxAFzqGCvSNJxhIqWu9GiF&#10;dtueeW5NcQRNZ7pJ8ZavapSyZj48MIfRQPlYnnCPTykNUpqzRUll3Jd/3cd4dAxeShqMWk41NosS&#10;+V6jkwAMveF6Y9sbeq/uDGZ3hKW0PJl44ILszdIZ9RkbtYg54GKaI1NOQ2/ehW7csZFcLBYpaG9d&#10;vau6B5hDy8JabyyPaaJU3i72AdImxaNAnSroVDxgElPPzlsTR/3Pc4p6/KeY/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YUeIjjsCAABxBAAADgAAAAAAAAABACAAAAAfAQAAZHJzL2Uyb0Rv&#10;Yy54bWxQSwUGAAAAAAYABgBZAQAAzAUAAAAA&#10;">
              <v:fill on="f" focussize="0,0"/>
              <v:stroke on="f" weight="0.5pt"/>
              <v:imagedata o:title=""/>
              <o:lock v:ext="edit" aspectratio="f"/>
              <v:textbox inset="0mm,0mm,0mm,0mm" style="mso-fit-shape-to-text:t;">
                <w:txbxContent>
                  <w:p>
                    <w:pPr>
                      <w:pStyle w:val="11"/>
                      <w:rPr>
                        <w:rStyle w:val="21"/>
                        <w:rFonts w:ascii="宋体" w:hAnsi="宋体"/>
                        <w:sz w:val="28"/>
                        <w:szCs w:val="28"/>
                      </w:rPr>
                    </w:pPr>
                    <w:r>
                      <w:rPr>
                        <w:rStyle w:val="21"/>
                        <w:rFonts w:hint="eastAsia" w:ascii="宋体" w:hAnsi="宋体"/>
                        <w:sz w:val="28"/>
                        <w:szCs w:val="28"/>
                      </w:rPr>
                      <w:t>—</w:t>
                    </w:r>
                    <w:r>
                      <w:rPr>
                        <w:rFonts w:ascii="宋体" w:hAnsi="宋体"/>
                        <w:sz w:val="26"/>
                        <w:szCs w:val="26"/>
                      </w:rPr>
                      <w:fldChar w:fldCharType="begin"/>
                    </w:r>
                    <w:r>
                      <w:rPr>
                        <w:rStyle w:val="21"/>
                        <w:rFonts w:ascii="宋体" w:hAnsi="宋体"/>
                        <w:sz w:val="26"/>
                        <w:szCs w:val="26"/>
                      </w:rPr>
                      <w:instrText xml:space="preserve">PAGE  </w:instrText>
                    </w:r>
                    <w:r>
                      <w:rPr>
                        <w:rFonts w:ascii="宋体" w:hAnsi="宋体"/>
                        <w:sz w:val="26"/>
                        <w:szCs w:val="26"/>
                      </w:rPr>
                      <w:fldChar w:fldCharType="separate"/>
                    </w:r>
                    <w:r>
                      <w:rPr>
                        <w:rStyle w:val="21"/>
                        <w:rFonts w:ascii="宋体" w:hAnsi="宋体"/>
                        <w:sz w:val="26"/>
                        <w:szCs w:val="26"/>
                      </w:rPr>
                      <w:t>81</w:t>
                    </w:r>
                    <w:r>
                      <w:rPr>
                        <w:rFonts w:ascii="宋体" w:hAnsi="宋体"/>
                        <w:sz w:val="26"/>
                        <w:szCs w:val="26"/>
                      </w:rPr>
                      <w:fldChar w:fldCharType="end"/>
                    </w:r>
                    <w:r>
                      <w:rPr>
                        <w:rStyle w:val="21"/>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5021A1"/>
    <w:multiLevelType w:val="singleLevel"/>
    <w:tmpl w:val="E05021A1"/>
    <w:lvl w:ilvl="0" w:tentative="0">
      <w:start w:val="3"/>
      <w:numFmt w:val="decimal"/>
      <w:lvlText w:val="%1."/>
      <w:lvlJc w:val="left"/>
      <w:pPr>
        <w:tabs>
          <w:tab w:val="left" w:pos="312"/>
        </w:tabs>
      </w:pPr>
    </w:lvl>
  </w:abstractNum>
  <w:abstractNum w:abstractNumId="1">
    <w:nsid w:val="F6DFD4E9"/>
    <w:multiLevelType w:val="multilevel"/>
    <w:tmpl w:val="F6DFD4E9"/>
    <w:lvl w:ilvl="0" w:tentative="0">
      <w:start w:val="1"/>
      <w:numFmt w:val="decimal"/>
      <w:lvlText w:val="(%1)"/>
      <w:lvlJc w:val="left"/>
      <w:pPr>
        <w:tabs>
          <w:tab w:val="left" w:pos="420"/>
        </w:tabs>
        <w:ind w:left="845" w:hanging="425"/>
      </w:pPr>
      <w:rPr>
        <w:rFonts w:hint="default"/>
      </w:rPr>
    </w:lvl>
    <w:lvl w:ilvl="1" w:tentative="0">
      <w:start w:val="1"/>
      <w:numFmt w:val="decimalEnclosedCircleChinese"/>
      <w:lvlText w:val="%2"/>
      <w:lvlJc w:val="left"/>
      <w:pPr>
        <w:tabs>
          <w:tab w:val="left" w:pos="840"/>
        </w:tabs>
        <w:ind w:left="1260" w:hanging="420"/>
      </w:pPr>
      <w:rPr>
        <w:rFonts w:hint="default"/>
      </w:rPr>
    </w:lvl>
    <w:lvl w:ilvl="2" w:tentative="0">
      <w:start w:val="1"/>
      <w:numFmt w:val="decimal"/>
      <w:lvlText w:val="%3)"/>
      <w:lvlJc w:val="left"/>
      <w:pPr>
        <w:tabs>
          <w:tab w:val="left" w:pos="1260"/>
        </w:tabs>
        <w:ind w:left="1680" w:hanging="420"/>
      </w:pPr>
      <w:rPr>
        <w:rFonts w:hint="default"/>
      </w:rPr>
    </w:lvl>
    <w:lvl w:ilvl="3" w:tentative="0">
      <w:start w:val="1"/>
      <w:numFmt w:val="lowerLetter"/>
      <w:lvlText w:val="%4."/>
      <w:lvlJc w:val="left"/>
      <w:pPr>
        <w:tabs>
          <w:tab w:val="left" w:pos="1680"/>
        </w:tabs>
        <w:ind w:left="2100" w:hanging="420"/>
      </w:pPr>
      <w:rPr>
        <w:rFonts w:hint="default"/>
      </w:rPr>
    </w:lvl>
    <w:lvl w:ilvl="4" w:tentative="0">
      <w:start w:val="1"/>
      <w:numFmt w:val="lowerLetter"/>
      <w:lvlText w:val="%5)"/>
      <w:lvlJc w:val="left"/>
      <w:pPr>
        <w:tabs>
          <w:tab w:val="left" w:pos="2100"/>
        </w:tabs>
        <w:ind w:left="2520" w:hanging="420"/>
      </w:pPr>
      <w:rPr>
        <w:rFonts w:hint="default"/>
      </w:rPr>
    </w:lvl>
    <w:lvl w:ilvl="5" w:tentative="0">
      <w:start w:val="1"/>
      <w:numFmt w:val="lowerRoman"/>
      <w:lvlText w:val="%6."/>
      <w:lvlJc w:val="left"/>
      <w:pPr>
        <w:tabs>
          <w:tab w:val="left" w:pos="2520"/>
        </w:tabs>
        <w:ind w:left="2940" w:hanging="420"/>
      </w:pPr>
      <w:rPr>
        <w:rFonts w:hint="default"/>
      </w:rPr>
    </w:lvl>
    <w:lvl w:ilvl="6" w:tentative="0">
      <w:start w:val="1"/>
      <w:numFmt w:val="lowerRoman"/>
      <w:lvlText w:val="%7)"/>
      <w:lvlJc w:val="left"/>
      <w:pPr>
        <w:tabs>
          <w:tab w:val="left" w:pos="2940"/>
        </w:tabs>
        <w:ind w:left="3360" w:hanging="420"/>
      </w:pPr>
      <w:rPr>
        <w:rFonts w:hint="default"/>
      </w:rPr>
    </w:lvl>
    <w:lvl w:ilvl="7" w:tentative="0">
      <w:start w:val="1"/>
      <w:numFmt w:val="lowerLetter"/>
      <w:lvlText w:val="%8."/>
      <w:lvlJc w:val="left"/>
      <w:pPr>
        <w:tabs>
          <w:tab w:val="left" w:pos="3360"/>
        </w:tabs>
        <w:ind w:left="3780" w:hanging="420"/>
      </w:pPr>
      <w:rPr>
        <w:rFonts w:hint="default"/>
      </w:rPr>
    </w:lvl>
    <w:lvl w:ilvl="8" w:tentative="0">
      <w:start w:val="1"/>
      <w:numFmt w:val="lowerLetter"/>
      <w:lvlText w:val="%9)"/>
      <w:lvlJc w:val="left"/>
      <w:pPr>
        <w:tabs>
          <w:tab w:val="left" w:pos="3780"/>
        </w:tabs>
        <w:ind w:left="4200" w:hanging="420"/>
      </w:pPr>
      <w:rPr>
        <w:rFonts w:hint="default"/>
      </w:rPr>
    </w:lvl>
  </w:abstractNum>
  <w:abstractNum w:abstractNumId="2">
    <w:nsid w:val="16E85A99"/>
    <w:multiLevelType w:val="singleLevel"/>
    <w:tmpl w:val="16E85A99"/>
    <w:lvl w:ilvl="0" w:tentative="0">
      <w:start w:val="8"/>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1M2E0ZDliOGVlMThiZjUzY2I1YTE3ZjgzYmI5YmUifQ=="/>
  </w:docVars>
  <w:rsids>
    <w:rsidRoot w:val="47292834"/>
    <w:rsid w:val="000000C0"/>
    <w:rsid w:val="000001A7"/>
    <w:rsid w:val="000031CB"/>
    <w:rsid w:val="00022FE2"/>
    <w:rsid w:val="000510B6"/>
    <w:rsid w:val="00052B0E"/>
    <w:rsid w:val="00063BAB"/>
    <w:rsid w:val="00075A4F"/>
    <w:rsid w:val="0008365D"/>
    <w:rsid w:val="0009137F"/>
    <w:rsid w:val="00096EC1"/>
    <w:rsid w:val="000A0E45"/>
    <w:rsid w:val="000A2EC7"/>
    <w:rsid w:val="000A3706"/>
    <w:rsid w:val="000B1F7C"/>
    <w:rsid w:val="000D723E"/>
    <w:rsid w:val="000D75CE"/>
    <w:rsid w:val="00137936"/>
    <w:rsid w:val="00137CB8"/>
    <w:rsid w:val="00144703"/>
    <w:rsid w:val="00145B09"/>
    <w:rsid w:val="00146F9A"/>
    <w:rsid w:val="00153B7B"/>
    <w:rsid w:val="0016290B"/>
    <w:rsid w:val="00195B91"/>
    <w:rsid w:val="00196A80"/>
    <w:rsid w:val="001B3D81"/>
    <w:rsid w:val="001C0608"/>
    <w:rsid w:val="001E7431"/>
    <w:rsid w:val="0021669F"/>
    <w:rsid w:val="00227202"/>
    <w:rsid w:val="00231A26"/>
    <w:rsid w:val="00231CCF"/>
    <w:rsid w:val="002627B7"/>
    <w:rsid w:val="00275F42"/>
    <w:rsid w:val="002954E1"/>
    <w:rsid w:val="002B4F36"/>
    <w:rsid w:val="002C6507"/>
    <w:rsid w:val="002F011D"/>
    <w:rsid w:val="002F2AF8"/>
    <w:rsid w:val="002F2B7B"/>
    <w:rsid w:val="00305EF4"/>
    <w:rsid w:val="00316519"/>
    <w:rsid w:val="00320448"/>
    <w:rsid w:val="00342B4E"/>
    <w:rsid w:val="00345CD7"/>
    <w:rsid w:val="00346DB0"/>
    <w:rsid w:val="003528BD"/>
    <w:rsid w:val="0035372A"/>
    <w:rsid w:val="003613A1"/>
    <w:rsid w:val="00362F0D"/>
    <w:rsid w:val="00366F0D"/>
    <w:rsid w:val="0037726E"/>
    <w:rsid w:val="0039656F"/>
    <w:rsid w:val="003C10FB"/>
    <w:rsid w:val="003C54B1"/>
    <w:rsid w:val="003D2B65"/>
    <w:rsid w:val="003E2B97"/>
    <w:rsid w:val="003E4D8D"/>
    <w:rsid w:val="003F1670"/>
    <w:rsid w:val="0041347B"/>
    <w:rsid w:val="00442321"/>
    <w:rsid w:val="004527D7"/>
    <w:rsid w:val="0045282D"/>
    <w:rsid w:val="004C01C0"/>
    <w:rsid w:val="004D7E6E"/>
    <w:rsid w:val="004E7FEC"/>
    <w:rsid w:val="00507CFD"/>
    <w:rsid w:val="00513B51"/>
    <w:rsid w:val="00542E66"/>
    <w:rsid w:val="005674E3"/>
    <w:rsid w:val="0058782F"/>
    <w:rsid w:val="005B642C"/>
    <w:rsid w:val="005E0E6C"/>
    <w:rsid w:val="005F0DB6"/>
    <w:rsid w:val="00646395"/>
    <w:rsid w:val="00686E3C"/>
    <w:rsid w:val="006A6122"/>
    <w:rsid w:val="006B536A"/>
    <w:rsid w:val="006C6091"/>
    <w:rsid w:val="006F6B7E"/>
    <w:rsid w:val="006F7885"/>
    <w:rsid w:val="00727A49"/>
    <w:rsid w:val="007405C4"/>
    <w:rsid w:val="00754C34"/>
    <w:rsid w:val="00765DA6"/>
    <w:rsid w:val="00767CE3"/>
    <w:rsid w:val="00773A56"/>
    <w:rsid w:val="007A41BD"/>
    <w:rsid w:val="007B4055"/>
    <w:rsid w:val="007B5064"/>
    <w:rsid w:val="00816F98"/>
    <w:rsid w:val="00834853"/>
    <w:rsid w:val="008616C3"/>
    <w:rsid w:val="00861E92"/>
    <w:rsid w:val="0087282D"/>
    <w:rsid w:val="00887F34"/>
    <w:rsid w:val="008A3D76"/>
    <w:rsid w:val="008B585A"/>
    <w:rsid w:val="008D65B8"/>
    <w:rsid w:val="008E39A4"/>
    <w:rsid w:val="008E673C"/>
    <w:rsid w:val="00914F38"/>
    <w:rsid w:val="009404C7"/>
    <w:rsid w:val="00961AF8"/>
    <w:rsid w:val="00962014"/>
    <w:rsid w:val="00997C2C"/>
    <w:rsid w:val="009A15EE"/>
    <w:rsid w:val="009B4CD8"/>
    <w:rsid w:val="009C512B"/>
    <w:rsid w:val="009F0158"/>
    <w:rsid w:val="009F1057"/>
    <w:rsid w:val="00A33DC6"/>
    <w:rsid w:val="00A401FA"/>
    <w:rsid w:val="00AC2FB4"/>
    <w:rsid w:val="00B14AD9"/>
    <w:rsid w:val="00B46409"/>
    <w:rsid w:val="00B63BAA"/>
    <w:rsid w:val="00B76948"/>
    <w:rsid w:val="00BC1D0C"/>
    <w:rsid w:val="00BC21CF"/>
    <w:rsid w:val="00BD7689"/>
    <w:rsid w:val="00BD7F8A"/>
    <w:rsid w:val="00BE432A"/>
    <w:rsid w:val="00BF33AF"/>
    <w:rsid w:val="00C21B5C"/>
    <w:rsid w:val="00C65841"/>
    <w:rsid w:val="00C73431"/>
    <w:rsid w:val="00C95608"/>
    <w:rsid w:val="00CA1843"/>
    <w:rsid w:val="00CA538D"/>
    <w:rsid w:val="00CB0C45"/>
    <w:rsid w:val="00CB184C"/>
    <w:rsid w:val="00CC5458"/>
    <w:rsid w:val="00CE6F38"/>
    <w:rsid w:val="00CF1F1E"/>
    <w:rsid w:val="00D1609E"/>
    <w:rsid w:val="00D26BCF"/>
    <w:rsid w:val="00D45AF8"/>
    <w:rsid w:val="00D5504B"/>
    <w:rsid w:val="00D96E97"/>
    <w:rsid w:val="00DB02CF"/>
    <w:rsid w:val="00DB1C4E"/>
    <w:rsid w:val="00DC2C5D"/>
    <w:rsid w:val="00DC37CD"/>
    <w:rsid w:val="00DE04EB"/>
    <w:rsid w:val="00DF2ED1"/>
    <w:rsid w:val="00E128B4"/>
    <w:rsid w:val="00E33250"/>
    <w:rsid w:val="00E345BF"/>
    <w:rsid w:val="00E35662"/>
    <w:rsid w:val="00E36642"/>
    <w:rsid w:val="00E5105A"/>
    <w:rsid w:val="00E67F1F"/>
    <w:rsid w:val="00E9218B"/>
    <w:rsid w:val="00E94547"/>
    <w:rsid w:val="00EC1CA4"/>
    <w:rsid w:val="00ED0E76"/>
    <w:rsid w:val="00EE4686"/>
    <w:rsid w:val="00F06187"/>
    <w:rsid w:val="00F15556"/>
    <w:rsid w:val="00F257FF"/>
    <w:rsid w:val="00F329EE"/>
    <w:rsid w:val="00F3779E"/>
    <w:rsid w:val="00F4142F"/>
    <w:rsid w:val="00F9080E"/>
    <w:rsid w:val="00FD49AE"/>
    <w:rsid w:val="00FD4C45"/>
    <w:rsid w:val="00FE3338"/>
    <w:rsid w:val="00FE3999"/>
    <w:rsid w:val="00FE5362"/>
    <w:rsid w:val="00FE7648"/>
    <w:rsid w:val="00FF4AE0"/>
    <w:rsid w:val="01A4698D"/>
    <w:rsid w:val="01C7337B"/>
    <w:rsid w:val="02203EE5"/>
    <w:rsid w:val="02CA0799"/>
    <w:rsid w:val="02F73142"/>
    <w:rsid w:val="033F6241"/>
    <w:rsid w:val="037759DB"/>
    <w:rsid w:val="039E740C"/>
    <w:rsid w:val="041647B7"/>
    <w:rsid w:val="044625E2"/>
    <w:rsid w:val="05B31F82"/>
    <w:rsid w:val="061B2F96"/>
    <w:rsid w:val="06681C1E"/>
    <w:rsid w:val="07653EF8"/>
    <w:rsid w:val="07760E24"/>
    <w:rsid w:val="079A0D13"/>
    <w:rsid w:val="079A5ADC"/>
    <w:rsid w:val="07A51A95"/>
    <w:rsid w:val="0868590C"/>
    <w:rsid w:val="09737506"/>
    <w:rsid w:val="0A662EBC"/>
    <w:rsid w:val="0A726EFC"/>
    <w:rsid w:val="0B0F4F5F"/>
    <w:rsid w:val="0B4920EE"/>
    <w:rsid w:val="0B9510F4"/>
    <w:rsid w:val="0BF5213F"/>
    <w:rsid w:val="0C4B3FB0"/>
    <w:rsid w:val="0D522A68"/>
    <w:rsid w:val="0D57246D"/>
    <w:rsid w:val="0D743862"/>
    <w:rsid w:val="0D86453E"/>
    <w:rsid w:val="0E0648F2"/>
    <w:rsid w:val="0EF04C9C"/>
    <w:rsid w:val="0F310C5C"/>
    <w:rsid w:val="0F5A3EF5"/>
    <w:rsid w:val="118F581E"/>
    <w:rsid w:val="132628D8"/>
    <w:rsid w:val="133B5F4C"/>
    <w:rsid w:val="14636546"/>
    <w:rsid w:val="14677AA8"/>
    <w:rsid w:val="14A65F36"/>
    <w:rsid w:val="14DA6461"/>
    <w:rsid w:val="14E3100E"/>
    <w:rsid w:val="151C63E2"/>
    <w:rsid w:val="15C804BC"/>
    <w:rsid w:val="163065E9"/>
    <w:rsid w:val="167F428D"/>
    <w:rsid w:val="168077F8"/>
    <w:rsid w:val="178D35C8"/>
    <w:rsid w:val="17B66DD2"/>
    <w:rsid w:val="18AC0C12"/>
    <w:rsid w:val="193338AE"/>
    <w:rsid w:val="19502E1E"/>
    <w:rsid w:val="1C093B64"/>
    <w:rsid w:val="1C6819AC"/>
    <w:rsid w:val="1C940402"/>
    <w:rsid w:val="1CD91206"/>
    <w:rsid w:val="1E690F37"/>
    <w:rsid w:val="1E8C45D9"/>
    <w:rsid w:val="21A842C7"/>
    <w:rsid w:val="236A0F0F"/>
    <w:rsid w:val="241C61FD"/>
    <w:rsid w:val="249D7540"/>
    <w:rsid w:val="2593449F"/>
    <w:rsid w:val="2659628F"/>
    <w:rsid w:val="2687457A"/>
    <w:rsid w:val="2705317A"/>
    <w:rsid w:val="27856069"/>
    <w:rsid w:val="27E868FB"/>
    <w:rsid w:val="28CC79C6"/>
    <w:rsid w:val="2AE82B97"/>
    <w:rsid w:val="2C0E2CEC"/>
    <w:rsid w:val="2D08725A"/>
    <w:rsid w:val="2F1C2E30"/>
    <w:rsid w:val="2FD61B58"/>
    <w:rsid w:val="30907291"/>
    <w:rsid w:val="30F272E9"/>
    <w:rsid w:val="312C0D1D"/>
    <w:rsid w:val="31F60CA8"/>
    <w:rsid w:val="32521A71"/>
    <w:rsid w:val="32642663"/>
    <w:rsid w:val="32D8793C"/>
    <w:rsid w:val="333C43C8"/>
    <w:rsid w:val="33706899"/>
    <w:rsid w:val="33D14E71"/>
    <w:rsid w:val="34C403DB"/>
    <w:rsid w:val="36E20B17"/>
    <w:rsid w:val="378B59FE"/>
    <w:rsid w:val="37FA22EF"/>
    <w:rsid w:val="389A70F0"/>
    <w:rsid w:val="38D34E86"/>
    <w:rsid w:val="39662EDD"/>
    <w:rsid w:val="3A0402F7"/>
    <w:rsid w:val="3A10636B"/>
    <w:rsid w:val="3ABE36F1"/>
    <w:rsid w:val="3C805325"/>
    <w:rsid w:val="3CBB4430"/>
    <w:rsid w:val="3CC80A7A"/>
    <w:rsid w:val="3D501429"/>
    <w:rsid w:val="3D6E5EB5"/>
    <w:rsid w:val="3F9A748B"/>
    <w:rsid w:val="3FB7152F"/>
    <w:rsid w:val="40F0234E"/>
    <w:rsid w:val="40FA2553"/>
    <w:rsid w:val="41847666"/>
    <w:rsid w:val="41903665"/>
    <w:rsid w:val="41B94A3D"/>
    <w:rsid w:val="41C55588"/>
    <w:rsid w:val="41F36D7E"/>
    <w:rsid w:val="421D1C0B"/>
    <w:rsid w:val="42CD0B98"/>
    <w:rsid w:val="42E14CA8"/>
    <w:rsid w:val="433A716B"/>
    <w:rsid w:val="43A16902"/>
    <w:rsid w:val="441A3BB3"/>
    <w:rsid w:val="44453DDE"/>
    <w:rsid w:val="44B55FC8"/>
    <w:rsid w:val="466862A1"/>
    <w:rsid w:val="46CA158D"/>
    <w:rsid w:val="47011EA6"/>
    <w:rsid w:val="47292834"/>
    <w:rsid w:val="476D1C26"/>
    <w:rsid w:val="477C52A2"/>
    <w:rsid w:val="47A0687C"/>
    <w:rsid w:val="483C2853"/>
    <w:rsid w:val="49973CAE"/>
    <w:rsid w:val="49CE2CCB"/>
    <w:rsid w:val="4A2F023C"/>
    <w:rsid w:val="4AB946D3"/>
    <w:rsid w:val="4ABF3E20"/>
    <w:rsid w:val="4B885FA4"/>
    <w:rsid w:val="4D641C20"/>
    <w:rsid w:val="4E022D41"/>
    <w:rsid w:val="4E662A22"/>
    <w:rsid w:val="4EF03712"/>
    <w:rsid w:val="4F3A75B6"/>
    <w:rsid w:val="50113369"/>
    <w:rsid w:val="503832D2"/>
    <w:rsid w:val="5065767D"/>
    <w:rsid w:val="507F724A"/>
    <w:rsid w:val="51767089"/>
    <w:rsid w:val="51AB2DF1"/>
    <w:rsid w:val="532435A5"/>
    <w:rsid w:val="533D4D64"/>
    <w:rsid w:val="53B003EE"/>
    <w:rsid w:val="542F70DE"/>
    <w:rsid w:val="560513BE"/>
    <w:rsid w:val="568F59BA"/>
    <w:rsid w:val="56C10BF6"/>
    <w:rsid w:val="578E6ADF"/>
    <w:rsid w:val="5899106F"/>
    <w:rsid w:val="596F481C"/>
    <w:rsid w:val="5A050D40"/>
    <w:rsid w:val="5A336FA0"/>
    <w:rsid w:val="5A753DAE"/>
    <w:rsid w:val="5C123489"/>
    <w:rsid w:val="5C3A52C5"/>
    <w:rsid w:val="5C7A5495"/>
    <w:rsid w:val="5D0C29C7"/>
    <w:rsid w:val="5EC031A3"/>
    <w:rsid w:val="5F1170B0"/>
    <w:rsid w:val="60E96BD3"/>
    <w:rsid w:val="63333FA6"/>
    <w:rsid w:val="63CE60C7"/>
    <w:rsid w:val="653128E3"/>
    <w:rsid w:val="666C4E98"/>
    <w:rsid w:val="6679056C"/>
    <w:rsid w:val="68414A76"/>
    <w:rsid w:val="68511029"/>
    <w:rsid w:val="6B0470C8"/>
    <w:rsid w:val="6B977C16"/>
    <w:rsid w:val="6B9D6AAA"/>
    <w:rsid w:val="6BE753C5"/>
    <w:rsid w:val="6C8E0B1F"/>
    <w:rsid w:val="6CD61F9E"/>
    <w:rsid w:val="6CDF3DAB"/>
    <w:rsid w:val="70950698"/>
    <w:rsid w:val="709F5073"/>
    <w:rsid w:val="70D27F8A"/>
    <w:rsid w:val="70DB668E"/>
    <w:rsid w:val="723152D5"/>
    <w:rsid w:val="726F526E"/>
    <w:rsid w:val="73422081"/>
    <w:rsid w:val="73CB43D1"/>
    <w:rsid w:val="75001222"/>
    <w:rsid w:val="76091247"/>
    <w:rsid w:val="772269FE"/>
    <w:rsid w:val="77320332"/>
    <w:rsid w:val="775C5235"/>
    <w:rsid w:val="77AF4B5B"/>
    <w:rsid w:val="78D70769"/>
    <w:rsid w:val="792C42DA"/>
    <w:rsid w:val="79B102D4"/>
    <w:rsid w:val="7A04063C"/>
    <w:rsid w:val="7ABB6F4D"/>
    <w:rsid w:val="7B4877BB"/>
    <w:rsid w:val="7C0472A9"/>
    <w:rsid w:val="7C7750F6"/>
    <w:rsid w:val="7D4C6582"/>
    <w:rsid w:val="7FE674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spacing w:beforeAutospacing="1" w:afterAutospacing="1"/>
      <w:jc w:val="left"/>
      <w:outlineLvl w:val="0"/>
    </w:pPr>
    <w:rPr>
      <w:rFonts w:hint="eastAsia" w:ascii="宋体" w:hAnsi="宋体"/>
      <w:b/>
      <w:bCs/>
      <w:kern w:val="44"/>
      <w:sz w:val="48"/>
      <w:szCs w:val="4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4"/>
    <w:autoRedefine/>
    <w:qFormat/>
    <w:uiPriority w:val="0"/>
    <w:pPr>
      <w:ind w:firstLine="420" w:firstLineChars="200"/>
    </w:pPr>
  </w:style>
  <w:style w:type="paragraph" w:customStyle="1" w:styleId="4">
    <w:name w:val="正文缩进2"/>
    <w:basedOn w:val="1"/>
    <w:autoRedefine/>
    <w:qFormat/>
    <w:uiPriority w:val="0"/>
    <w:pPr>
      <w:spacing w:line="500" w:lineRule="exact"/>
      <w:ind w:firstLine="200" w:firstLineChars="200"/>
    </w:pPr>
    <w:rPr>
      <w:szCs w:val="21"/>
    </w:rPr>
  </w:style>
  <w:style w:type="paragraph" w:styleId="5">
    <w:name w:val="Document Map"/>
    <w:basedOn w:val="1"/>
    <w:link w:val="34"/>
    <w:autoRedefine/>
    <w:qFormat/>
    <w:uiPriority w:val="0"/>
    <w:rPr>
      <w:rFonts w:ascii="宋体"/>
      <w:sz w:val="18"/>
      <w:szCs w:val="18"/>
    </w:rPr>
  </w:style>
  <w:style w:type="paragraph" w:styleId="6">
    <w:name w:val="annotation text"/>
    <w:basedOn w:val="1"/>
    <w:link w:val="36"/>
    <w:autoRedefine/>
    <w:semiHidden/>
    <w:qFormat/>
    <w:uiPriority w:val="0"/>
    <w:pPr>
      <w:jc w:val="left"/>
    </w:pPr>
    <w:rPr>
      <w:kern w:val="0"/>
      <w:sz w:val="24"/>
      <w:szCs w:val="20"/>
    </w:rPr>
  </w:style>
  <w:style w:type="paragraph" w:styleId="7">
    <w:name w:val="Body Text"/>
    <w:basedOn w:val="1"/>
    <w:next w:val="1"/>
    <w:autoRedefine/>
    <w:qFormat/>
    <w:uiPriority w:val="0"/>
    <w:pPr>
      <w:widowControl/>
      <w:snapToGrid w:val="0"/>
      <w:spacing w:before="60" w:after="160" w:line="259" w:lineRule="auto"/>
      <w:ind w:right="113"/>
    </w:pPr>
    <w:rPr>
      <w:kern w:val="0"/>
      <w:sz w:val="18"/>
      <w:szCs w:val="20"/>
    </w:rPr>
  </w:style>
  <w:style w:type="paragraph" w:styleId="8">
    <w:name w:val="Body Text Indent"/>
    <w:basedOn w:val="1"/>
    <w:autoRedefine/>
    <w:qFormat/>
    <w:uiPriority w:val="0"/>
    <w:pPr>
      <w:spacing w:after="120"/>
      <w:ind w:left="420" w:leftChars="200"/>
    </w:pPr>
    <w:rPr>
      <w:kern w:val="0"/>
      <w:sz w:val="24"/>
      <w:szCs w:val="20"/>
    </w:rPr>
  </w:style>
  <w:style w:type="paragraph" w:styleId="9">
    <w:name w:val="Plain Text"/>
    <w:basedOn w:val="1"/>
    <w:autoRedefine/>
    <w:qFormat/>
    <w:uiPriority w:val="0"/>
    <w:pPr>
      <w:widowControl/>
      <w:jc w:val="left"/>
    </w:pPr>
    <w:rPr>
      <w:rFonts w:ascii="宋体" w:hAnsi="Courier New"/>
      <w:kern w:val="0"/>
      <w:szCs w:val="20"/>
    </w:rPr>
  </w:style>
  <w:style w:type="paragraph" w:styleId="10">
    <w:name w:val="Balloon Text"/>
    <w:basedOn w:val="1"/>
    <w:link w:val="35"/>
    <w:autoRedefine/>
    <w:qFormat/>
    <w:uiPriority w:val="0"/>
    <w:rPr>
      <w:sz w:val="18"/>
      <w:szCs w:val="18"/>
    </w:rPr>
  </w:style>
  <w:style w:type="paragraph" w:styleId="11">
    <w:name w:val="footer"/>
    <w:basedOn w:val="1"/>
    <w:autoRedefine/>
    <w:qFormat/>
    <w:uiPriority w:val="99"/>
    <w:pPr>
      <w:tabs>
        <w:tab w:val="center" w:pos="4153"/>
        <w:tab w:val="right" w:pos="8306"/>
      </w:tabs>
      <w:snapToGrid w:val="0"/>
      <w:jc w:val="left"/>
    </w:pPr>
    <w:rPr>
      <w:kern w:val="0"/>
      <w:sz w:val="18"/>
      <w:szCs w:val="20"/>
    </w:rPr>
  </w:style>
  <w:style w:type="paragraph" w:styleId="12">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autoRedefine/>
    <w:qFormat/>
    <w:uiPriority w:val="0"/>
  </w:style>
  <w:style w:type="paragraph" w:styleId="14">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kern w:val="0"/>
      <w:sz w:val="20"/>
      <w:szCs w:val="20"/>
    </w:rPr>
  </w:style>
  <w:style w:type="paragraph" w:styleId="15">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16">
    <w:name w:val="Title"/>
    <w:basedOn w:val="1"/>
    <w:next w:val="1"/>
    <w:autoRedefine/>
    <w:qFormat/>
    <w:uiPriority w:val="0"/>
    <w:pPr>
      <w:spacing w:before="240" w:after="60"/>
      <w:jc w:val="center"/>
      <w:outlineLvl w:val="0"/>
    </w:pPr>
    <w:rPr>
      <w:b/>
      <w:bCs/>
      <w:sz w:val="32"/>
      <w:szCs w:val="32"/>
    </w:rPr>
  </w:style>
  <w:style w:type="paragraph" w:styleId="17">
    <w:name w:val="annotation subject"/>
    <w:basedOn w:val="6"/>
    <w:next w:val="6"/>
    <w:link w:val="37"/>
    <w:autoRedefine/>
    <w:qFormat/>
    <w:uiPriority w:val="0"/>
    <w:rPr>
      <w:b/>
      <w:bCs/>
      <w:kern w:val="2"/>
      <w:sz w:val="21"/>
      <w:szCs w:val="24"/>
    </w:rPr>
  </w:style>
  <w:style w:type="table" w:styleId="19">
    <w:name w:val="Table Grid"/>
    <w:basedOn w:val="1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autoRedefine/>
    <w:qFormat/>
    <w:uiPriority w:val="0"/>
  </w:style>
  <w:style w:type="character" w:styleId="22">
    <w:name w:val="annotation reference"/>
    <w:basedOn w:val="20"/>
    <w:autoRedefine/>
    <w:semiHidden/>
    <w:qFormat/>
    <w:uiPriority w:val="0"/>
    <w:rPr>
      <w:sz w:val="21"/>
    </w:rPr>
  </w:style>
  <w:style w:type="paragraph" w:customStyle="1" w:styleId="23">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4">
    <w:name w:val="Table Paragraph"/>
    <w:basedOn w:val="1"/>
    <w:autoRedefine/>
    <w:qFormat/>
    <w:uiPriority w:val="1"/>
    <w:pPr>
      <w:autoSpaceDE w:val="0"/>
      <w:autoSpaceDN w:val="0"/>
      <w:adjustRightInd w:val="0"/>
      <w:jc w:val="left"/>
    </w:pPr>
    <w:rPr>
      <w:kern w:val="0"/>
      <w:sz w:val="24"/>
    </w:rPr>
  </w:style>
  <w:style w:type="paragraph" w:customStyle="1" w:styleId="25">
    <w:name w:val="样式 自动设置"/>
    <w:basedOn w:val="1"/>
    <w:autoRedefine/>
    <w:qFormat/>
    <w:uiPriority w:val="0"/>
    <w:pPr>
      <w:autoSpaceDE w:val="0"/>
      <w:autoSpaceDN w:val="0"/>
      <w:adjustRightInd w:val="0"/>
      <w:snapToGrid w:val="0"/>
      <w:spacing w:beforeLines="50" w:line="288" w:lineRule="auto"/>
      <w:ind w:firstLine="200" w:firstLineChars="200"/>
    </w:pPr>
    <w:rPr>
      <w:rFonts w:cs="宋体"/>
      <w:sz w:val="24"/>
    </w:rPr>
  </w:style>
  <w:style w:type="paragraph" w:customStyle="1" w:styleId="26">
    <w:name w:val="A 正文"/>
    <w:autoRedefine/>
    <w:qFormat/>
    <w:uiPriority w:val="0"/>
    <w:pPr>
      <w:spacing w:line="360" w:lineRule="auto"/>
      <w:ind w:firstLine="482"/>
    </w:pPr>
    <w:rPr>
      <w:rFonts w:ascii="Times New Roman" w:hAnsi="Times New Roman" w:eastAsia="宋体" w:cs="宋体"/>
      <w:kern w:val="2"/>
      <w:sz w:val="24"/>
      <w:szCs w:val="24"/>
      <w:lang w:val="en-US" w:eastAsia="zh-CN" w:bidi="ar-SA"/>
    </w:rPr>
  </w:style>
  <w:style w:type="paragraph" w:customStyle="1" w:styleId="27">
    <w:name w:val="无间隔1"/>
    <w:autoRedefine/>
    <w:qFormat/>
    <w:uiPriority w:val="0"/>
    <w:pPr>
      <w:widowControl w:val="0"/>
      <w:spacing w:line="500" w:lineRule="exact"/>
      <w:ind w:firstLine="200" w:firstLineChars="200"/>
      <w:jc w:val="both"/>
    </w:pPr>
    <w:rPr>
      <w:rFonts w:ascii="Times New Roman" w:hAnsi="Times New Roman" w:eastAsia="华文仿宋" w:cs="Times New Roman"/>
      <w:kern w:val="2"/>
      <w:sz w:val="28"/>
      <w:szCs w:val="24"/>
      <w:lang w:val="en-US" w:eastAsia="zh-CN" w:bidi="ar-SA"/>
    </w:rPr>
  </w:style>
  <w:style w:type="paragraph" w:customStyle="1" w:styleId="28">
    <w:name w:val="xl27"/>
    <w:basedOn w:val="1"/>
    <w:autoRedefine/>
    <w:qFormat/>
    <w:uiPriority w:val="0"/>
    <w:pPr>
      <w:widowControl/>
      <w:pBdr>
        <w:bottom w:val="single" w:color="auto" w:sz="12" w:space="0"/>
      </w:pBdr>
      <w:spacing w:before="100" w:after="100"/>
      <w:jc w:val="center"/>
    </w:pPr>
    <w:rPr>
      <w:rFonts w:ascii="宋体" w:hAnsi="宋体"/>
      <w:kern w:val="0"/>
      <w:szCs w:val="20"/>
    </w:rPr>
  </w:style>
  <w:style w:type="paragraph" w:customStyle="1" w:styleId="29">
    <w:name w:val="p0"/>
    <w:basedOn w:val="1"/>
    <w:autoRedefine/>
    <w:qFormat/>
    <w:uiPriority w:val="0"/>
    <w:pPr>
      <w:widowControl/>
      <w:snapToGrid w:val="0"/>
      <w:spacing w:after="200"/>
      <w:jc w:val="left"/>
    </w:pPr>
    <w:rPr>
      <w:rFonts w:ascii="Tahoma" w:hAnsi="Tahoma" w:cs="Tahoma"/>
      <w:kern w:val="0"/>
      <w:sz w:val="22"/>
      <w:szCs w:val="22"/>
    </w:rPr>
  </w:style>
  <w:style w:type="character" w:customStyle="1" w:styleId="30">
    <w:name w:val="font41"/>
    <w:basedOn w:val="20"/>
    <w:autoRedefine/>
    <w:qFormat/>
    <w:uiPriority w:val="0"/>
    <w:rPr>
      <w:rFonts w:hint="default" w:ascii="Times New Roman" w:hAnsi="Times New Roman" w:cs="Times New Roman"/>
      <w:b/>
      <w:bCs/>
      <w:color w:val="000000"/>
      <w:sz w:val="21"/>
      <w:szCs w:val="21"/>
      <w:u w:val="none"/>
      <w:vertAlign w:val="subscript"/>
    </w:rPr>
  </w:style>
  <w:style w:type="paragraph" w:customStyle="1" w:styleId="31">
    <w:name w:val="表格字体"/>
    <w:basedOn w:val="1"/>
    <w:next w:val="1"/>
    <w:autoRedefine/>
    <w:qFormat/>
    <w:uiPriority w:val="0"/>
    <w:pPr>
      <w:adjustRightInd w:val="0"/>
      <w:snapToGrid w:val="0"/>
      <w:spacing w:beforeLines="20" w:afterLines="20"/>
      <w:jc w:val="center"/>
    </w:pPr>
    <w:rPr>
      <w:rFonts w:hAnsi="宋体"/>
      <w:snapToGrid w:val="0"/>
      <w:szCs w:val="21"/>
    </w:rPr>
  </w:style>
  <w:style w:type="table" w:customStyle="1" w:styleId="32">
    <w:name w:val="Table Normal"/>
    <w:autoRedefine/>
    <w:unhideWhenUsed/>
    <w:qFormat/>
    <w:uiPriority w:val="0"/>
    <w:tblPr>
      <w:tblCellMar>
        <w:top w:w="0" w:type="dxa"/>
        <w:left w:w="0" w:type="dxa"/>
        <w:bottom w:w="0" w:type="dxa"/>
        <w:right w:w="0" w:type="dxa"/>
      </w:tblCellMar>
    </w:tblPr>
  </w:style>
  <w:style w:type="paragraph" w:customStyle="1" w:styleId="33">
    <w:name w:val="列出段落1"/>
    <w:basedOn w:val="1"/>
    <w:autoRedefine/>
    <w:qFormat/>
    <w:uiPriority w:val="0"/>
    <w:pPr>
      <w:ind w:firstLine="420" w:firstLineChars="200"/>
    </w:pPr>
    <w:rPr>
      <w:rFonts w:ascii="Calibri" w:hAnsi="Calibri"/>
      <w:szCs w:val="22"/>
    </w:rPr>
  </w:style>
  <w:style w:type="character" w:customStyle="1" w:styleId="34">
    <w:name w:val="文档结构图 Char"/>
    <w:basedOn w:val="20"/>
    <w:link w:val="5"/>
    <w:autoRedefine/>
    <w:qFormat/>
    <w:uiPriority w:val="0"/>
    <w:rPr>
      <w:rFonts w:ascii="宋体"/>
      <w:kern w:val="2"/>
      <w:sz w:val="18"/>
      <w:szCs w:val="18"/>
    </w:rPr>
  </w:style>
  <w:style w:type="character" w:customStyle="1" w:styleId="35">
    <w:name w:val="批注框文本 Char"/>
    <w:basedOn w:val="20"/>
    <w:link w:val="10"/>
    <w:autoRedefine/>
    <w:qFormat/>
    <w:uiPriority w:val="0"/>
    <w:rPr>
      <w:kern w:val="2"/>
      <w:sz w:val="18"/>
      <w:szCs w:val="18"/>
    </w:rPr>
  </w:style>
  <w:style w:type="character" w:customStyle="1" w:styleId="36">
    <w:name w:val="批注文字 Char"/>
    <w:basedOn w:val="20"/>
    <w:link w:val="6"/>
    <w:autoRedefine/>
    <w:semiHidden/>
    <w:qFormat/>
    <w:uiPriority w:val="0"/>
    <w:rPr>
      <w:sz w:val="24"/>
    </w:rPr>
  </w:style>
  <w:style w:type="character" w:customStyle="1" w:styleId="37">
    <w:name w:val="批注主题 Char"/>
    <w:basedOn w:val="36"/>
    <w:link w:val="17"/>
    <w:autoRedefine/>
    <w:qFormat/>
    <w:uiPriority w:val="0"/>
    <w:rPr>
      <w:sz w:val="24"/>
    </w:rPr>
  </w:style>
  <w:style w:type="paragraph" w:customStyle="1" w:styleId="38">
    <w:name w:val="WPSOffice手动目录 1"/>
    <w:autoRedefine/>
    <w:qFormat/>
    <w:uiPriority w:val="0"/>
    <w:rPr>
      <w:rFonts w:ascii="Times New Roman" w:hAnsi="Times New Roman" w:eastAsia="宋体" w:cs="Times New Roman"/>
      <w:lang w:val="en-US" w:eastAsia="zh-CN" w:bidi="ar-SA"/>
    </w:rPr>
  </w:style>
  <w:style w:type="character" w:customStyle="1" w:styleId="39">
    <w:name w:val="font21"/>
    <w:basedOn w:val="20"/>
    <w:autoRedefine/>
    <w:qFormat/>
    <w:uiPriority w:val="0"/>
    <w:rPr>
      <w:rFonts w:ascii="宋体" w:hAnsi="宋体" w:eastAsia="宋体" w:cs="宋体"/>
      <w:color w:val="000000"/>
      <w:sz w:val="24"/>
      <w:szCs w:val="24"/>
      <w:u w:val="none"/>
    </w:rPr>
  </w:style>
  <w:style w:type="character" w:customStyle="1" w:styleId="40">
    <w:name w:val="font31"/>
    <w:basedOn w:val="20"/>
    <w:autoRedefine/>
    <w:qFormat/>
    <w:uiPriority w:val="0"/>
    <w:rPr>
      <w:rFonts w:ascii="Calibri" w:hAnsi="Calibri" w:cs="Calibri"/>
      <w:color w:val="000000"/>
      <w:sz w:val="24"/>
      <w:szCs w:val="24"/>
      <w:u w:val="none"/>
    </w:rPr>
  </w:style>
  <w:style w:type="character" w:customStyle="1" w:styleId="41">
    <w:name w:val="font51"/>
    <w:basedOn w:val="20"/>
    <w:autoRedefine/>
    <w:qFormat/>
    <w:uiPriority w:val="0"/>
    <w:rPr>
      <w:rFonts w:ascii="宋体" w:hAnsi="宋体" w:eastAsia="宋体" w:cs="宋体"/>
      <w:color w:val="000000"/>
      <w:sz w:val="14"/>
      <w:szCs w:val="14"/>
      <w:u w:val="none"/>
    </w:rPr>
  </w:style>
  <w:style w:type="character" w:customStyle="1" w:styleId="42">
    <w:name w:val="font61"/>
    <w:basedOn w:val="20"/>
    <w:autoRedefine/>
    <w:qFormat/>
    <w:uiPriority w:val="0"/>
    <w:rPr>
      <w:rFonts w:ascii="宋体" w:hAnsi="宋体" w:eastAsia="宋体" w:cs="宋体"/>
      <w:color w:val="000000"/>
      <w:sz w:val="16"/>
      <w:szCs w:val="16"/>
      <w:u w:val="none"/>
    </w:rPr>
  </w:style>
  <w:style w:type="character" w:customStyle="1" w:styleId="43">
    <w:name w:val="font71"/>
    <w:basedOn w:val="20"/>
    <w:autoRedefine/>
    <w:qFormat/>
    <w:uiPriority w:val="0"/>
    <w:rPr>
      <w:rFonts w:ascii="宋体" w:hAnsi="宋体" w:eastAsia="宋体" w:cs="宋体"/>
      <w:color w:val="000C78"/>
      <w:sz w:val="14"/>
      <w:szCs w:val="14"/>
      <w:u w:val="none"/>
    </w:rPr>
  </w:style>
  <w:style w:type="paragraph" w:customStyle="1" w:styleId="44">
    <w:name w:val="Table Text"/>
    <w:basedOn w:val="1"/>
    <w:autoRedefine/>
    <w:semiHidden/>
    <w:qFormat/>
    <w:uiPriority w:val="0"/>
    <w:rPr>
      <w:rFonts w:ascii="宋体" w:hAnsi="宋体" w:cs="宋体"/>
      <w:sz w:val="20"/>
      <w:szCs w:val="20"/>
      <w:lang w:eastAsia="en-US"/>
    </w:rPr>
  </w:style>
  <w:style w:type="character" w:customStyle="1" w:styleId="45">
    <w:name w:val="font11"/>
    <w:basedOn w:val="20"/>
    <w:autoRedefine/>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1.wmf"/><Relationship Id="rId27" Type="http://schemas.openxmlformats.org/officeDocument/2006/relationships/oleObject" Target="embeddings/oleObject1.bin"/><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44702</Words>
  <Characters>48895</Characters>
  <Lines>370</Lines>
  <Paragraphs>104</Paragraphs>
  <TotalTime>9</TotalTime>
  <ScaleCrop>false</ScaleCrop>
  <LinksUpToDate>false</LinksUpToDate>
  <CharactersWithSpaces>49155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2023-02-28T05:54:00Z</dcterms:created>
  <dc:creator>秋乏</dc:creator>
  <cp:lastModifiedBy>秋乏</cp:lastModifiedBy>
  <dcterms:modified xsi:type="dcterms:W3CDTF">2024-06-14T01:50:36Z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460C7CC575354BD89F6EDC0385CC358A_13</vt:lpwstr>
  </property>
</Properties>
</file>